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9C3" w:rsidRDefault="007F09C3">
      <w:pPr>
        <w:pStyle w:val="Title"/>
        <w:rPr>
          <w:b/>
          <w:color w:val="0070C0"/>
          <w:sz w:val="48"/>
          <w:szCs w:val="48"/>
        </w:rPr>
      </w:pPr>
    </w:p>
    <w:p w:rsidR="007F09C3" w:rsidRDefault="00750B95">
      <w:pPr>
        <w:pStyle w:val="Title"/>
        <w:rPr>
          <w:b/>
          <w:color w:val="0070C0"/>
          <w:sz w:val="48"/>
          <w:szCs w:val="48"/>
        </w:rPr>
      </w:pPr>
      <w:r>
        <w:rPr>
          <w:b/>
          <w:color w:val="0070C0"/>
          <w:sz w:val="48"/>
          <w:szCs w:val="48"/>
        </w:rPr>
        <w:t xml:space="preserve">Framework for Increasing Groundwater Replenishment &amp; </w:t>
      </w:r>
      <w:r w:rsidR="00660204">
        <w:rPr>
          <w:b/>
          <w:color w:val="0070C0"/>
          <w:sz w:val="48"/>
          <w:szCs w:val="48"/>
        </w:rPr>
        <w:t xml:space="preserve">Achieving </w:t>
      </w:r>
      <w:r>
        <w:rPr>
          <w:b/>
          <w:color w:val="0070C0"/>
          <w:sz w:val="48"/>
          <w:szCs w:val="48"/>
        </w:rPr>
        <w:t>Sustainability</w:t>
      </w:r>
    </w:p>
    <w:p w:rsidR="007F09C3" w:rsidRDefault="0040027A" w:rsidP="0040027A">
      <w:pPr>
        <w:pStyle w:val="Heading1"/>
        <w:spacing w:before="0" w:after="0"/>
        <w:rPr>
          <w:b w:val="0"/>
        </w:rPr>
      </w:pPr>
      <w:r>
        <w:rPr>
          <w:b w:val="0"/>
        </w:rPr>
        <w:t>DRAFT VERSION: July 23,</w:t>
      </w:r>
      <w:r w:rsidR="00750B95">
        <w:rPr>
          <w:b w:val="0"/>
        </w:rPr>
        <w:t xml:space="preserve"> 2019</w:t>
      </w:r>
    </w:p>
    <w:p w:rsidR="007F09C3" w:rsidRDefault="00750B95">
      <w:pPr>
        <w:spacing w:after="0" w:line="240" w:lineRule="auto"/>
        <w:rPr>
          <w:b/>
          <w:sz w:val="28"/>
          <w:szCs w:val="28"/>
          <w:u w:val="single"/>
        </w:rPr>
      </w:pPr>
      <w:r>
        <w:br w:type="page"/>
      </w:r>
    </w:p>
    <w:p w:rsidR="007F09C3" w:rsidRDefault="007F09C3">
      <w:pPr>
        <w:spacing w:after="0" w:line="240" w:lineRule="auto"/>
        <w:rPr>
          <w:sz w:val="36"/>
          <w:szCs w:val="36"/>
        </w:rPr>
        <w:sectPr w:rsidR="007F09C3" w:rsidSect="002B2541">
          <w:headerReference w:type="default" r:id="rId8"/>
          <w:footerReference w:type="default" r:id="rId9"/>
          <w:pgSz w:w="12240" w:h="15840"/>
          <w:pgMar w:top="1440" w:right="1440" w:bottom="1440" w:left="1440" w:header="720" w:footer="720" w:gutter="0"/>
          <w:pgNumType w:start="0"/>
          <w:cols w:space="720"/>
          <w:docGrid w:linePitch="286"/>
        </w:sectPr>
      </w:pPr>
    </w:p>
    <w:p w:rsidR="007F09C3" w:rsidRDefault="00750B95">
      <w:pPr>
        <w:spacing w:after="0" w:line="240" w:lineRule="auto"/>
        <w:rPr>
          <w:sz w:val="36"/>
          <w:szCs w:val="36"/>
        </w:rPr>
      </w:pPr>
      <w:r>
        <w:rPr>
          <w:sz w:val="36"/>
          <w:szCs w:val="36"/>
        </w:rPr>
        <w:lastRenderedPageBreak/>
        <w:t xml:space="preserve">Association of California </w:t>
      </w:r>
      <w:r>
        <w:rPr>
          <w:noProof/>
        </w:rPr>
        <mc:AlternateContent>
          <mc:Choice Requires="wps">
            <w:drawing>
              <wp:anchor distT="0" distB="0" distL="114300" distR="114300" simplePos="0" relativeHeight="251660288" behindDoc="0" locked="0" layoutInCell="1" hidden="0" allowOverlap="1">
                <wp:simplePos x="0" y="0"/>
                <wp:positionH relativeFrom="column">
                  <wp:posOffset>2959100</wp:posOffset>
                </wp:positionH>
                <wp:positionV relativeFrom="paragraph">
                  <wp:posOffset>-12699</wp:posOffset>
                </wp:positionV>
                <wp:extent cx="2930146" cy="2561656"/>
                <wp:effectExtent l="0" t="0" r="0" b="0"/>
                <wp:wrapNone/>
                <wp:docPr id="2" name=""/>
                <wp:cNvGraphicFramePr/>
                <a:graphic xmlns:a="http://schemas.openxmlformats.org/drawingml/2006/main">
                  <a:graphicData uri="http://schemas.microsoft.com/office/word/2010/wordprocessingShape">
                    <wps:wsp>
                      <wps:cNvSpPr/>
                      <wps:spPr>
                        <a:xfrm>
                          <a:off x="3885690" y="2503935"/>
                          <a:ext cx="2920621" cy="2552131"/>
                        </a:xfrm>
                        <a:prstGeom prst="rect">
                          <a:avLst/>
                        </a:prstGeom>
                        <a:solidFill>
                          <a:schemeClr val="lt1"/>
                        </a:solidFill>
                        <a:ln>
                          <a:noFill/>
                        </a:ln>
                      </wps:spPr>
                      <wps:txbx>
                        <w:txbxContent>
                          <w:p w:rsidR="00430B8E" w:rsidRDefault="00430B8E">
                            <w:pPr>
                              <w:jc w:val="right"/>
                              <w:textDirection w:val="btLr"/>
                            </w:pPr>
                            <w:r>
                              <w:rPr>
                                <w:color w:val="000000"/>
                                <w:sz w:val="40"/>
                              </w:rPr>
                              <w:t xml:space="preserve">ACWA’s mission </w:t>
                            </w:r>
                            <w:r>
                              <w:rPr>
                                <w:color w:val="000000"/>
                                <w:sz w:val="32"/>
                              </w:rPr>
                              <w:t>is to assist its members in promoting the development, management and reasonable beneficial use of good quality water at the lowest practical cost in an environmentally balanced manner.</w:t>
                            </w:r>
                          </w:p>
                        </w:txbxContent>
                      </wps:txbx>
                      <wps:bodyPr spcFirstLastPara="1" wrap="square" lIns="91425" tIns="45700" rIns="91425" bIns="45700" anchor="t" anchorCtr="0"/>
                    </wps:wsp>
                  </a:graphicData>
                </a:graphic>
              </wp:anchor>
            </w:drawing>
          </mc:Choice>
          <mc:Fallback>
            <w:pict>
              <v:rect id="_x0000_s1026" style="position:absolute;margin-left:233pt;margin-top:-1pt;width:230.7pt;height:201.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4G0gEAAIQDAAAOAAAAZHJzL2Uyb0RvYy54bWysU01v2zAMvQ/ofxB0b/yROkuCOD20yDCg&#10;2AK0+wGKLMcCZEkj1dj596PktM2227CLTJrPT3yP9OZ+7A07KUDtbM2LWc6ZstI12h5r/uNld7vk&#10;DIOwjTDOqpqfFfL77c2nzeDXqnSdM40CRiQW14OveReCX2cZyk71AmfOK0vF1kEvAqVwzBoQA7H3&#10;JivzfJENDhoPTipEevs4Ffk28betkuF726IKzNScegvphHQe4pltN2J9BOE7LS9tiH/oohfa0qXv&#10;VI8iCPYK+i+qXktw6Nowk67PXNtqqZIGUlPkf6h57oRXSQuZg/7dJvx/tPLbaQ9MNzUvObOipxFF&#10;TwaPayo9+z1cMqQwChxb6OOTWmdjzefLZbVYkbNnYqjy+WpeTZ6qMTBJgHJV5ouy4EwmRFUW8yIi&#10;sg8qDxi+KNezGNQcaGjJS3F6wjBB3yDxZnRGNzttTErioqgHA+wkaMQmvJH/hjI2Yq2LX02E8U0W&#10;VU66YhTGw3gRe3DNmWxBL3eaenoSGPYCaDFIx0DLUnP8+SpAcWa+WprGqrgrK9qulNxVn3MyBK4r&#10;h+uKsLJztIOBsyl8CGkjY2exERp18ueylnGXrvOE+vh5tr8AAAD//wMAUEsDBBQABgAIAAAAIQD6&#10;8oVT3gAAAAoBAAAPAAAAZHJzL2Rvd25yZXYueG1sTI9BS8NAEIXvgv9hGcFbu2kIUWM2RYTexGKr&#10;9LpNxmxsdjZkp2n8944nPQ2P93jzvXI9+15NOMYukIHVMgGFVIemo9bA+36zuAcV2VJj+0Bo4Bsj&#10;rKvrq9IWTbjQG047bpWUUCysAcc8FFrH2qG3cRkGJPE+w+gtixxb3Yz2IuW+12mS5NrbjuSDswM+&#10;O6xPu7M38JLF7dcGJ7c9HGoeXtmFj9NszO3N/PQIinHmvzD84gs6VMJ0DGdqouoNZHkuW9jAIpUr&#10;gYf0LgN1FCdZZaCrUv+fUP0AAAD//wMAUEsBAi0AFAAGAAgAAAAhALaDOJL+AAAA4QEAABMAAAAA&#10;AAAAAAAAAAAAAAAAAFtDb250ZW50X1R5cGVzXS54bWxQSwECLQAUAAYACAAAACEAOP0h/9YAAACU&#10;AQAACwAAAAAAAAAAAAAAAAAvAQAAX3JlbHMvLnJlbHNQSwECLQAUAAYACAAAACEAkzIOBtIBAACE&#10;AwAADgAAAAAAAAAAAAAAAAAuAgAAZHJzL2Uyb0RvYy54bWxQSwECLQAUAAYACAAAACEA+vKFU94A&#10;AAAKAQAADwAAAAAAAAAAAAAAAAAsBAAAZHJzL2Rvd25yZXYueG1sUEsFBgAAAAAEAAQA8wAAADcF&#10;AAAAAA==&#10;" fillcolor="white [3201]" stroked="f">
                <v:textbox inset="2.53958mm,1.2694mm,2.53958mm,1.2694mm">
                  <w:txbxContent>
                    <w:p w:rsidR="00430B8E" w:rsidRDefault="00430B8E">
                      <w:pPr>
                        <w:jc w:val="right"/>
                        <w:textDirection w:val="btLr"/>
                      </w:pPr>
                      <w:r>
                        <w:rPr>
                          <w:color w:val="000000"/>
                          <w:sz w:val="40"/>
                        </w:rPr>
                        <w:t xml:space="preserve">ACWA’s mission </w:t>
                      </w:r>
                      <w:r>
                        <w:rPr>
                          <w:color w:val="000000"/>
                          <w:sz w:val="32"/>
                        </w:rPr>
                        <w:t>is to assist its members in promoting the development, management and reasonable beneficial use of good quality water at the lowest practical cost in an environmentally balanced manner.</w:t>
                      </w:r>
                    </w:p>
                  </w:txbxContent>
                </v:textbox>
              </v:rect>
            </w:pict>
          </mc:Fallback>
        </mc:AlternateContent>
      </w:r>
    </w:p>
    <w:p w:rsidR="007F09C3" w:rsidRDefault="00750B95">
      <w:pPr>
        <w:spacing w:after="0" w:line="240" w:lineRule="auto"/>
        <w:rPr>
          <w:sz w:val="36"/>
          <w:szCs w:val="36"/>
        </w:rPr>
      </w:pPr>
      <w:r>
        <w:rPr>
          <w:sz w:val="36"/>
          <w:szCs w:val="36"/>
        </w:rPr>
        <w:t>Water Agencies</w:t>
      </w:r>
    </w:p>
    <w:p w:rsidR="007F09C3" w:rsidRDefault="007F09C3">
      <w:pPr>
        <w:spacing w:after="0" w:line="240" w:lineRule="auto"/>
        <w:rPr>
          <w:sz w:val="36"/>
          <w:szCs w:val="36"/>
        </w:rPr>
      </w:pPr>
    </w:p>
    <w:p w:rsidR="007F09C3" w:rsidRDefault="00750B95">
      <w:pPr>
        <w:spacing w:after="0" w:line="240" w:lineRule="auto"/>
        <w:rPr>
          <w:b/>
          <w:sz w:val="32"/>
          <w:szCs w:val="32"/>
        </w:rPr>
      </w:pPr>
      <w:r>
        <w:rPr>
          <w:b/>
          <w:sz w:val="32"/>
          <w:szCs w:val="32"/>
        </w:rPr>
        <w:t>Contacts and Location:</w:t>
      </w:r>
    </w:p>
    <w:p w:rsidR="007F09C3" w:rsidRDefault="00750B95">
      <w:pPr>
        <w:spacing w:after="0" w:line="240" w:lineRule="auto"/>
        <w:rPr>
          <w:b/>
          <w:sz w:val="28"/>
          <w:szCs w:val="28"/>
        </w:rPr>
      </w:pPr>
      <w:r>
        <w:rPr>
          <w:b/>
          <w:sz w:val="28"/>
          <w:szCs w:val="28"/>
        </w:rPr>
        <w:t>Sacramento Office</w:t>
      </w:r>
    </w:p>
    <w:p w:rsidR="007F09C3" w:rsidRDefault="00750B95">
      <w:pPr>
        <w:spacing w:after="0" w:line="240" w:lineRule="auto"/>
        <w:rPr>
          <w:sz w:val="28"/>
          <w:szCs w:val="28"/>
        </w:rPr>
      </w:pPr>
      <w:r>
        <w:rPr>
          <w:sz w:val="28"/>
          <w:szCs w:val="28"/>
        </w:rPr>
        <w:t>910 K Street, Suite 100</w:t>
      </w:r>
    </w:p>
    <w:p w:rsidR="007F09C3" w:rsidRDefault="00750B95">
      <w:pPr>
        <w:spacing w:after="0" w:line="240" w:lineRule="auto"/>
        <w:rPr>
          <w:sz w:val="28"/>
          <w:szCs w:val="28"/>
        </w:rPr>
      </w:pPr>
      <w:r>
        <w:rPr>
          <w:sz w:val="28"/>
          <w:szCs w:val="28"/>
        </w:rPr>
        <w:t>Sacramento, CA 95814</w:t>
      </w:r>
    </w:p>
    <w:p w:rsidR="007F09C3" w:rsidRDefault="00750B95">
      <w:pPr>
        <w:spacing w:after="0" w:line="240" w:lineRule="auto"/>
        <w:rPr>
          <w:sz w:val="28"/>
          <w:szCs w:val="28"/>
        </w:rPr>
      </w:pPr>
      <w:r>
        <w:rPr>
          <w:sz w:val="28"/>
          <w:szCs w:val="28"/>
        </w:rPr>
        <w:t>916.441.4545</w:t>
      </w:r>
    </w:p>
    <w:p w:rsidR="007F09C3" w:rsidRDefault="00750B95">
      <w:pPr>
        <w:spacing w:after="0" w:line="240" w:lineRule="auto"/>
        <w:rPr>
          <w:b/>
          <w:sz w:val="28"/>
          <w:szCs w:val="28"/>
        </w:rPr>
      </w:pPr>
      <w:r>
        <w:rPr>
          <w:b/>
          <w:sz w:val="28"/>
          <w:szCs w:val="28"/>
        </w:rPr>
        <w:t xml:space="preserve">Brent </w:t>
      </w:r>
      <w:proofErr w:type="spellStart"/>
      <w:r>
        <w:rPr>
          <w:b/>
          <w:sz w:val="28"/>
          <w:szCs w:val="28"/>
        </w:rPr>
        <w:t>Hastey</w:t>
      </w:r>
      <w:proofErr w:type="spellEnd"/>
    </w:p>
    <w:p w:rsidR="007F09C3" w:rsidRDefault="00750B95">
      <w:pPr>
        <w:spacing w:after="0" w:line="240" w:lineRule="auto"/>
        <w:rPr>
          <w:sz w:val="28"/>
          <w:szCs w:val="28"/>
        </w:rPr>
      </w:pPr>
      <w:r>
        <w:rPr>
          <w:sz w:val="28"/>
          <w:szCs w:val="28"/>
        </w:rPr>
        <w:t>ACWA President</w:t>
      </w:r>
    </w:p>
    <w:p w:rsidR="007F09C3" w:rsidRDefault="00750B95">
      <w:pPr>
        <w:spacing w:after="0" w:line="240" w:lineRule="auto"/>
        <w:rPr>
          <w:b/>
          <w:sz w:val="28"/>
          <w:szCs w:val="28"/>
        </w:rPr>
      </w:pPr>
      <w:r>
        <w:rPr>
          <w:b/>
          <w:sz w:val="28"/>
          <w:szCs w:val="28"/>
        </w:rPr>
        <w:t>Steve LaMar</w:t>
      </w:r>
    </w:p>
    <w:p w:rsidR="007F09C3" w:rsidRDefault="00750B95">
      <w:pPr>
        <w:spacing w:after="0" w:line="240" w:lineRule="auto"/>
        <w:rPr>
          <w:sz w:val="28"/>
          <w:szCs w:val="28"/>
        </w:rPr>
      </w:pPr>
      <w:r>
        <w:rPr>
          <w:sz w:val="28"/>
          <w:szCs w:val="28"/>
        </w:rPr>
        <w:t>ACWA Vice President</w:t>
      </w:r>
    </w:p>
    <w:p w:rsidR="007F09C3" w:rsidRDefault="00750B95">
      <w:pPr>
        <w:spacing w:after="0" w:line="240" w:lineRule="auto"/>
        <w:rPr>
          <w:b/>
          <w:sz w:val="28"/>
          <w:szCs w:val="28"/>
        </w:rPr>
      </w:pPr>
      <w:r>
        <w:rPr>
          <w:b/>
          <w:sz w:val="28"/>
          <w:szCs w:val="28"/>
        </w:rPr>
        <w:t>Dave Eggerton</w:t>
      </w:r>
    </w:p>
    <w:p w:rsidR="007F09C3" w:rsidRDefault="00750B95">
      <w:pPr>
        <w:spacing w:after="0" w:line="240" w:lineRule="auto"/>
        <w:rPr>
          <w:sz w:val="28"/>
          <w:szCs w:val="28"/>
        </w:rPr>
      </w:pPr>
      <w:r>
        <w:rPr>
          <w:sz w:val="28"/>
          <w:szCs w:val="28"/>
        </w:rPr>
        <w:t>Executive Director</w:t>
      </w:r>
    </w:p>
    <w:p w:rsidR="007F09C3" w:rsidRDefault="007F09C3">
      <w:pPr>
        <w:spacing w:after="0" w:line="240" w:lineRule="auto"/>
        <w:rPr>
          <w:sz w:val="28"/>
          <w:szCs w:val="28"/>
        </w:rPr>
      </w:pPr>
    </w:p>
    <w:p w:rsidR="007F09C3" w:rsidRDefault="007F09C3">
      <w:pPr>
        <w:spacing w:after="0" w:line="240" w:lineRule="auto"/>
        <w:rPr>
          <w:sz w:val="28"/>
          <w:szCs w:val="28"/>
        </w:rPr>
      </w:pPr>
    </w:p>
    <w:p w:rsidR="007F09C3" w:rsidRDefault="007F09C3">
      <w:pPr>
        <w:spacing w:after="0" w:line="240" w:lineRule="auto"/>
        <w:rPr>
          <w:sz w:val="28"/>
          <w:szCs w:val="28"/>
        </w:rPr>
      </w:pPr>
    </w:p>
    <w:p w:rsidR="007F09C3" w:rsidRDefault="007F09C3">
      <w:pPr>
        <w:spacing w:after="0" w:line="240" w:lineRule="auto"/>
        <w:rPr>
          <w:sz w:val="28"/>
          <w:szCs w:val="28"/>
        </w:rPr>
      </w:pPr>
    </w:p>
    <w:p w:rsidR="007F09C3" w:rsidRDefault="007F09C3">
      <w:pPr>
        <w:spacing w:after="0" w:line="240" w:lineRule="auto"/>
        <w:rPr>
          <w:sz w:val="28"/>
          <w:szCs w:val="28"/>
        </w:rPr>
      </w:pPr>
    </w:p>
    <w:p w:rsidR="007F09C3" w:rsidRDefault="007F09C3">
      <w:pPr>
        <w:spacing w:after="0" w:line="240" w:lineRule="auto"/>
        <w:rPr>
          <w:sz w:val="28"/>
          <w:szCs w:val="28"/>
        </w:rPr>
      </w:pPr>
    </w:p>
    <w:p w:rsidR="007F09C3" w:rsidRDefault="007F09C3">
      <w:pPr>
        <w:spacing w:after="0" w:line="240" w:lineRule="auto"/>
        <w:rPr>
          <w:sz w:val="28"/>
          <w:szCs w:val="28"/>
        </w:rPr>
      </w:pPr>
    </w:p>
    <w:p w:rsidR="007F09C3" w:rsidRDefault="007F09C3">
      <w:pPr>
        <w:spacing w:after="0" w:line="240" w:lineRule="auto"/>
        <w:rPr>
          <w:sz w:val="28"/>
          <w:szCs w:val="28"/>
        </w:rPr>
      </w:pPr>
    </w:p>
    <w:p w:rsidR="007F09C3" w:rsidRDefault="007F09C3">
      <w:pPr>
        <w:spacing w:after="0" w:line="240" w:lineRule="auto"/>
        <w:rPr>
          <w:sz w:val="28"/>
          <w:szCs w:val="28"/>
        </w:rPr>
      </w:pPr>
    </w:p>
    <w:p w:rsidR="007F09C3" w:rsidRDefault="007F09C3">
      <w:pPr>
        <w:spacing w:after="0" w:line="240" w:lineRule="auto"/>
        <w:rPr>
          <w:sz w:val="28"/>
          <w:szCs w:val="28"/>
        </w:rPr>
      </w:pPr>
    </w:p>
    <w:p w:rsidR="007F09C3" w:rsidRDefault="007F09C3">
      <w:pPr>
        <w:spacing w:after="0" w:line="240" w:lineRule="auto"/>
        <w:rPr>
          <w:sz w:val="28"/>
          <w:szCs w:val="28"/>
        </w:rPr>
      </w:pPr>
    </w:p>
    <w:p w:rsidR="007F09C3" w:rsidRDefault="007F09C3">
      <w:pPr>
        <w:spacing w:after="0" w:line="240" w:lineRule="auto"/>
        <w:rPr>
          <w:sz w:val="28"/>
          <w:szCs w:val="28"/>
        </w:rPr>
      </w:pPr>
    </w:p>
    <w:p w:rsidR="007F09C3" w:rsidRDefault="007F09C3">
      <w:pPr>
        <w:spacing w:after="0" w:line="240" w:lineRule="auto"/>
        <w:rPr>
          <w:sz w:val="28"/>
          <w:szCs w:val="28"/>
        </w:rPr>
      </w:pPr>
    </w:p>
    <w:p w:rsidR="007F09C3" w:rsidRDefault="007F09C3">
      <w:pPr>
        <w:spacing w:after="0" w:line="240" w:lineRule="auto"/>
        <w:rPr>
          <w:sz w:val="28"/>
          <w:szCs w:val="28"/>
        </w:rPr>
      </w:pPr>
    </w:p>
    <w:p w:rsidR="007F09C3" w:rsidRDefault="007F09C3">
      <w:pPr>
        <w:spacing w:after="0" w:line="240" w:lineRule="auto"/>
        <w:rPr>
          <w:sz w:val="32"/>
          <w:szCs w:val="32"/>
        </w:rPr>
      </w:pPr>
    </w:p>
    <w:p w:rsidR="007F09C3" w:rsidRDefault="007F09C3">
      <w:pPr>
        <w:spacing w:after="0" w:line="240" w:lineRule="auto"/>
        <w:jc w:val="right"/>
        <w:rPr>
          <w:sz w:val="24"/>
          <w:szCs w:val="24"/>
        </w:rPr>
        <w:sectPr w:rsidR="007F09C3">
          <w:type w:val="continuous"/>
          <w:pgSz w:w="12240" w:h="15840"/>
          <w:pgMar w:top="1440" w:right="1440" w:bottom="1440" w:left="1440" w:header="720" w:footer="720" w:gutter="0"/>
          <w:cols w:num="2" w:space="720" w:equalWidth="0">
            <w:col w:w="4320" w:space="720"/>
            <w:col w:w="4320" w:space="0"/>
          </w:cols>
        </w:sectPr>
      </w:pPr>
    </w:p>
    <w:p w:rsidR="007F09C3" w:rsidRDefault="007F09C3">
      <w:pPr>
        <w:spacing w:after="0" w:line="240" w:lineRule="auto"/>
        <w:jc w:val="right"/>
        <w:rPr>
          <w:sz w:val="32"/>
          <w:szCs w:val="32"/>
        </w:rPr>
        <w:sectPr w:rsidR="007F09C3">
          <w:type w:val="continuous"/>
          <w:pgSz w:w="12240" w:h="15840"/>
          <w:pgMar w:top="1440" w:right="1440" w:bottom="1440" w:left="1440" w:header="720" w:footer="720" w:gutter="0"/>
          <w:cols w:num="2" w:space="720" w:equalWidth="0">
            <w:col w:w="4320" w:space="720"/>
            <w:col w:w="4320" w:space="0"/>
          </w:cols>
        </w:sectPr>
      </w:pPr>
    </w:p>
    <w:p w:rsidR="007F09C3" w:rsidRDefault="007F09C3">
      <w:pPr>
        <w:spacing w:after="0" w:line="240" w:lineRule="auto"/>
        <w:jc w:val="right"/>
        <w:rPr>
          <w:sz w:val="32"/>
          <w:szCs w:val="32"/>
        </w:rPr>
      </w:pPr>
    </w:p>
    <w:p w:rsidR="007F09C3" w:rsidRDefault="007F09C3">
      <w:pPr>
        <w:spacing w:after="0" w:line="240" w:lineRule="auto"/>
      </w:pPr>
    </w:p>
    <w:p w:rsidR="007F09C3" w:rsidRDefault="007F09C3">
      <w:pPr>
        <w:spacing w:after="0" w:line="240" w:lineRule="auto"/>
      </w:pPr>
    </w:p>
    <w:p w:rsidR="007F09C3" w:rsidRDefault="007F09C3">
      <w:pPr>
        <w:spacing w:after="0" w:line="240" w:lineRule="auto"/>
      </w:pPr>
    </w:p>
    <w:p w:rsidR="007F09C3" w:rsidRDefault="007F09C3">
      <w:pPr>
        <w:spacing w:after="0" w:line="240" w:lineRule="auto"/>
      </w:pPr>
    </w:p>
    <w:p w:rsidR="007F09C3" w:rsidRDefault="007F09C3">
      <w:pPr>
        <w:spacing w:after="0" w:line="240" w:lineRule="auto"/>
        <w:sectPr w:rsidR="007F09C3">
          <w:type w:val="continuous"/>
          <w:pgSz w:w="12240" w:h="15840"/>
          <w:pgMar w:top="1440" w:right="1440" w:bottom="1440" w:left="1440" w:header="720" w:footer="720" w:gutter="0"/>
          <w:cols w:num="2" w:space="720" w:equalWidth="0">
            <w:col w:w="4320" w:space="720"/>
            <w:col w:w="4320" w:space="0"/>
          </w:cols>
        </w:sectPr>
      </w:pPr>
    </w:p>
    <w:p w:rsidR="007F09C3" w:rsidRDefault="00750B95">
      <w:pPr>
        <w:spacing w:after="0" w:line="240" w:lineRule="auto"/>
      </w:pPr>
      <w:r>
        <w:br w:type="page"/>
      </w:r>
      <w:r>
        <w:rPr>
          <w:noProof/>
        </w:rPr>
        <mc:AlternateContent>
          <mc:Choice Requires="wps">
            <w:drawing>
              <wp:anchor distT="0" distB="0" distL="114300" distR="114300" simplePos="0" relativeHeight="251661312" behindDoc="0" locked="0" layoutInCell="1" hidden="0" allowOverlap="1">
                <wp:simplePos x="0" y="0"/>
                <wp:positionH relativeFrom="column">
                  <wp:posOffset>1536700</wp:posOffset>
                </wp:positionH>
                <wp:positionV relativeFrom="paragraph">
                  <wp:posOffset>2387600</wp:posOffset>
                </wp:positionV>
                <wp:extent cx="4349115" cy="685800"/>
                <wp:effectExtent l="0" t="0" r="0" b="0"/>
                <wp:wrapNone/>
                <wp:docPr id="5" name=""/>
                <wp:cNvGraphicFramePr/>
                <a:graphic xmlns:a="http://schemas.openxmlformats.org/drawingml/2006/main">
                  <a:graphicData uri="http://schemas.microsoft.com/office/word/2010/wordprocessingShape">
                    <wps:wsp>
                      <wps:cNvSpPr/>
                      <wps:spPr>
                        <a:xfrm>
                          <a:off x="3176205" y="3441863"/>
                          <a:ext cx="4339590" cy="676275"/>
                        </a:xfrm>
                        <a:prstGeom prst="rect">
                          <a:avLst/>
                        </a:prstGeom>
                        <a:solidFill>
                          <a:schemeClr val="lt1"/>
                        </a:solidFill>
                        <a:ln>
                          <a:noFill/>
                        </a:ln>
                      </wps:spPr>
                      <wps:txbx>
                        <w:txbxContent>
                          <w:p w:rsidR="00430B8E" w:rsidRDefault="00430B8E">
                            <w:pPr>
                              <w:spacing w:after="0" w:line="240" w:lineRule="auto"/>
                              <w:jc w:val="right"/>
                              <w:textDirection w:val="btLr"/>
                            </w:pPr>
                            <w:r>
                              <w:rPr>
                                <w:color w:val="000000"/>
                                <w:sz w:val="24"/>
                              </w:rPr>
                              <w:t>©2019 by Association of California Water Agencies</w:t>
                            </w:r>
                          </w:p>
                          <w:p w:rsidR="00430B8E" w:rsidRDefault="00430B8E">
                            <w:pPr>
                              <w:spacing w:after="0" w:line="240" w:lineRule="auto"/>
                              <w:jc w:val="right"/>
                              <w:textDirection w:val="btLr"/>
                            </w:pPr>
                            <w:r>
                              <w:rPr>
                                <w:color w:val="000000"/>
                                <w:sz w:val="24"/>
                              </w:rPr>
                              <w:t>www.acwa.com</w:t>
                            </w:r>
                          </w:p>
                          <w:p w:rsidR="00430B8E" w:rsidRDefault="00430B8E">
                            <w:pPr>
                              <w:spacing w:after="0" w:line="240" w:lineRule="auto"/>
                              <w:jc w:val="right"/>
                              <w:textDirection w:val="btLr"/>
                            </w:pPr>
                            <w:r>
                              <w:rPr>
                                <w:color w:val="000000"/>
                                <w:sz w:val="24"/>
                              </w:rPr>
                              <w:t>All rights reserved.</w:t>
                            </w:r>
                          </w:p>
                        </w:txbxContent>
                      </wps:txbx>
                      <wps:bodyPr spcFirstLastPara="1" wrap="square" lIns="91425" tIns="45700" rIns="91425" bIns="45700" anchor="t" anchorCtr="0"/>
                    </wps:wsp>
                  </a:graphicData>
                </a:graphic>
              </wp:anchor>
            </w:drawing>
          </mc:Choice>
          <mc:Fallback>
            <w:pict>
              <v:rect id="_x0000_s1027" style="position:absolute;margin-left:121pt;margin-top:188pt;width:342.45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5H1QEAAIoDAAAOAAAAZHJzL2Uyb0RvYy54bWysU8Fu2zAMvQ/YPwi6L7YTJ2mMOD20yDCg&#10;2AJ0+wBFlmMBsqSRauz8/Sg5bbPtNuyikOLzE98js70fe8POClA7W/NilnOmrHSNtqea//i+/3TH&#10;GQZhG2GcVTW/KOT3u48ftoOv1Nx1zjQKGJFYrAZf8y4EX2UZyk71AmfOK0vF1kEvAqVwyhoQA7H3&#10;Jpvn+SobHDQenFSIdPs4Ffku8betkuFb26IKzNScegvphHQe45nttqI6gfCdltc2xD900Qtt6dE3&#10;qkcRBHsB/RdVryU4dG2YSddnrm21VEkDqSnyP9Q8d8KrpIXMQf9mE/4/Wvn1fACmm5ovObOipxFF&#10;TwaPFZWe/QGuGVIYBY4t9PGXWmdjzRfFejXP6dsLxWVZ3K0Wk6dqDEwSoFwsNssNWS8JsSLwehkB&#10;2TuTBwyfletZDGoONLNkpTg/YZigr5D4MDqjm702JiVxT9SDAXYWNGETiiv5byhjI9a6+NVEGG+y&#10;KHKSFaMwHsdkRKKIN0fXXMgc9HKvqbUngeEggNaj4Gyglak5/nwRoDgzXyzNZFOUc3IipKRcrnNS&#10;DbeV421FWNk52sTA2RQ+hLSXscH4Og082XRdzrhRt3lCvf+Fdr8AAAD//wMAUEsDBBQABgAIAAAA&#10;IQCdobXo4AAAAAsBAAAPAAAAZHJzL2Rvd25yZXYueG1sTI/BTsMwEETvSPyDtUjcqEOIQhuyqRBS&#10;b4iKAurVTZY4NF5HsZuGv2c5wW1WM5p9U65n16uJxtB5RrhdJKCIa9903CK8v21ulqBCNNyY3jMh&#10;fFOAdXV5UZqi8Wd+pWkXWyUlHAqDYGMcCq1DbcmZsPADsXiffnQmyjm2uhnNWcpdr9MkybUzHcsH&#10;awZ6slQfdyeH8JyF7deGJrvd7+s4vETrP44z4vXV/PgAKtIc/8Lwiy/oUAnTwZ+4CapHSLNUtkSE&#10;u/tchCRWab4CdUDIllkCuir1/w3VDwAAAP//AwBQSwECLQAUAAYACAAAACEAtoM4kv4AAADhAQAA&#10;EwAAAAAAAAAAAAAAAAAAAAAAW0NvbnRlbnRfVHlwZXNdLnhtbFBLAQItABQABgAIAAAAIQA4/SH/&#10;1gAAAJQBAAALAAAAAAAAAAAAAAAAAC8BAABfcmVscy8ucmVsc1BLAQItABQABgAIAAAAIQD/3x5H&#10;1QEAAIoDAAAOAAAAAAAAAAAAAAAAAC4CAABkcnMvZTJvRG9jLnhtbFBLAQItABQABgAIAAAAIQCd&#10;obXo4AAAAAsBAAAPAAAAAAAAAAAAAAAAAC8EAABkcnMvZG93bnJldi54bWxQSwUGAAAAAAQABADz&#10;AAAAPAUAAAAA&#10;" fillcolor="white [3201]" stroked="f">
                <v:textbox inset="2.53958mm,1.2694mm,2.53958mm,1.2694mm">
                  <w:txbxContent>
                    <w:p w:rsidR="00430B8E" w:rsidRDefault="00430B8E">
                      <w:pPr>
                        <w:spacing w:after="0" w:line="240" w:lineRule="auto"/>
                        <w:jc w:val="right"/>
                        <w:textDirection w:val="btLr"/>
                      </w:pPr>
                      <w:r>
                        <w:rPr>
                          <w:color w:val="000000"/>
                          <w:sz w:val="24"/>
                        </w:rPr>
                        <w:t>©2019 by Association of California Water Agencies</w:t>
                      </w:r>
                    </w:p>
                    <w:p w:rsidR="00430B8E" w:rsidRDefault="00430B8E">
                      <w:pPr>
                        <w:spacing w:after="0" w:line="240" w:lineRule="auto"/>
                        <w:jc w:val="right"/>
                        <w:textDirection w:val="btLr"/>
                      </w:pPr>
                      <w:r>
                        <w:rPr>
                          <w:color w:val="000000"/>
                          <w:sz w:val="24"/>
                        </w:rPr>
                        <w:t>www.acwa.com</w:t>
                      </w:r>
                    </w:p>
                    <w:p w:rsidR="00430B8E" w:rsidRDefault="00430B8E">
                      <w:pPr>
                        <w:spacing w:after="0" w:line="240" w:lineRule="auto"/>
                        <w:jc w:val="right"/>
                        <w:textDirection w:val="btLr"/>
                      </w:pPr>
                      <w:r>
                        <w:rPr>
                          <w:color w:val="000000"/>
                          <w:sz w:val="24"/>
                        </w:rPr>
                        <w:t>All rights reserved.</w:t>
                      </w:r>
                    </w:p>
                  </w:txbxContent>
                </v:textbox>
              </v:rect>
            </w:pict>
          </mc:Fallback>
        </mc:AlternateContent>
      </w:r>
    </w:p>
    <w:p w:rsidR="002B2541" w:rsidRDefault="002B2541" w:rsidP="001538D2">
      <w:pPr>
        <w:pStyle w:val="Heading1"/>
        <w:spacing w:before="0" w:after="120"/>
      </w:pPr>
      <w:r>
        <w:lastRenderedPageBreak/>
        <w:t xml:space="preserve">Executive Summary </w:t>
      </w:r>
    </w:p>
    <w:p w:rsidR="0039593D" w:rsidRDefault="0039593D" w:rsidP="002B2541">
      <w:pPr>
        <w:pStyle w:val="Heading1"/>
        <w:spacing w:before="0" w:after="120"/>
        <w:rPr>
          <w:b w:val="0"/>
          <w:bCs/>
          <w:color w:val="auto"/>
          <w:sz w:val="22"/>
          <w:szCs w:val="22"/>
        </w:rPr>
      </w:pPr>
    </w:p>
    <w:p w:rsidR="0039593D" w:rsidRDefault="0039593D" w:rsidP="002B2541">
      <w:pPr>
        <w:pStyle w:val="Heading1"/>
        <w:spacing w:before="0" w:after="120"/>
        <w:rPr>
          <w:b w:val="0"/>
          <w:bCs/>
          <w:color w:val="auto"/>
          <w:sz w:val="22"/>
          <w:szCs w:val="22"/>
        </w:rPr>
      </w:pPr>
    </w:p>
    <w:p w:rsidR="0039593D" w:rsidRDefault="0039593D" w:rsidP="002B2541">
      <w:pPr>
        <w:pStyle w:val="Heading1"/>
        <w:spacing w:before="0" w:after="120"/>
        <w:rPr>
          <w:b w:val="0"/>
          <w:bCs/>
          <w:color w:val="auto"/>
          <w:sz w:val="22"/>
          <w:szCs w:val="22"/>
        </w:rPr>
      </w:pPr>
    </w:p>
    <w:p w:rsidR="002B2541" w:rsidRDefault="002B2541" w:rsidP="002B2541">
      <w:pPr>
        <w:pStyle w:val="Heading1"/>
        <w:spacing w:before="0" w:after="120"/>
        <w:rPr>
          <w:b w:val="0"/>
          <w:bCs/>
          <w:color w:val="auto"/>
          <w:sz w:val="22"/>
          <w:szCs w:val="22"/>
        </w:rPr>
      </w:pPr>
      <w:r>
        <w:rPr>
          <w:b w:val="0"/>
          <w:bCs/>
          <w:color w:val="auto"/>
          <w:sz w:val="22"/>
          <w:szCs w:val="22"/>
        </w:rPr>
        <w:t>[To be added]</w:t>
      </w:r>
    </w:p>
    <w:p w:rsidR="002B2541" w:rsidRPr="002B2541" w:rsidRDefault="002B2541" w:rsidP="002B2541"/>
    <w:p w:rsidR="002B2541" w:rsidRDefault="002B2541">
      <w:pPr>
        <w:rPr>
          <w:b/>
          <w:color w:val="487B78"/>
          <w:sz w:val="40"/>
          <w:szCs w:val="40"/>
        </w:rPr>
      </w:pPr>
      <w:r>
        <w:br w:type="page"/>
      </w:r>
    </w:p>
    <w:p w:rsidR="007F09C3" w:rsidRDefault="00750B95" w:rsidP="001538D2">
      <w:pPr>
        <w:pStyle w:val="Heading1"/>
        <w:spacing w:before="0" w:after="120"/>
      </w:pPr>
      <w:r>
        <w:lastRenderedPageBreak/>
        <w:t>Introduction</w:t>
      </w:r>
    </w:p>
    <w:p w:rsidR="007F09C3" w:rsidRDefault="002B2541" w:rsidP="005E3731">
      <w:pPr>
        <w:spacing w:after="0" w:line="276" w:lineRule="auto"/>
        <w:jc w:val="both"/>
        <w:rPr>
          <w:sz w:val="22"/>
          <w:szCs w:val="22"/>
        </w:rPr>
      </w:pPr>
      <w:r>
        <w:rPr>
          <w:noProof/>
        </w:rPr>
        <mc:AlternateContent>
          <mc:Choice Requires="wps">
            <w:drawing>
              <wp:anchor distT="0" distB="0" distL="114300" distR="114300" simplePos="0" relativeHeight="251662336" behindDoc="0" locked="0" layoutInCell="1" hidden="0" allowOverlap="1">
                <wp:simplePos x="0" y="0"/>
                <wp:positionH relativeFrom="column">
                  <wp:posOffset>3514725</wp:posOffset>
                </wp:positionH>
                <wp:positionV relativeFrom="paragraph">
                  <wp:posOffset>59055</wp:posOffset>
                </wp:positionV>
                <wp:extent cx="2460625" cy="5695950"/>
                <wp:effectExtent l="19050" t="19050" r="15875" b="19050"/>
                <wp:wrapSquare wrapText="bothSides" distT="0" distB="0" distL="114300" distR="114300"/>
                <wp:docPr id="3" name=""/>
                <wp:cNvGraphicFramePr/>
                <a:graphic xmlns:a="http://schemas.openxmlformats.org/drawingml/2006/main">
                  <a:graphicData uri="http://schemas.microsoft.com/office/word/2010/wordprocessingShape">
                    <wps:wsp>
                      <wps:cNvSpPr/>
                      <wps:spPr>
                        <a:xfrm>
                          <a:off x="0" y="0"/>
                          <a:ext cx="2460625" cy="5695950"/>
                        </a:xfrm>
                        <a:prstGeom prst="rect">
                          <a:avLst/>
                        </a:prstGeom>
                        <a:solidFill>
                          <a:schemeClr val="lt1"/>
                        </a:solidFill>
                        <a:ln w="28575" cap="flat" cmpd="sng">
                          <a:solidFill>
                            <a:schemeClr val="accent5">
                              <a:lumMod val="75000"/>
                            </a:schemeClr>
                          </a:solidFill>
                          <a:prstDash val="solid"/>
                          <a:round/>
                          <a:headEnd type="none" w="sm" len="sm"/>
                          <a:tailEnd type="none" w="sm" len="sm"/>
                        </a:ln>
                      </wps:spPr>
                      <wps:txbx>
                        <w:txbxContent>
                          <w:p w:rsidR="00430B8E" w:rsidRDefault="00430B8E">
                            <w:pPr>
                              <w:spacing w:after="0" w:line="240" w:lineRule="auto"/>
                              <w:ind w:left="180" w:right="210"/>
                              <w:textDirection w:val="btLr"/>
                            </w:pPr>
                          </w:p>
                          <w:p w:rsidR="00430B8E" w:rsidRPr="001D6B51" w:rsidRDefault="00430B8E">
                            <w:pPr>
                              <w:spacing w:after="0" w:line="240" w:lineRule="auto"/>
                              <w:ind w:left="180" w:right="210"/>
                              <w:textDirection w:val="btLr"/>
                              <w:rPr>
                                <w:color w:val="31849B" w:themeColor="accent5" w:themeShade="BF"/>
                              </w:rPr>
                            </w:pPr>
                            <w:r>
                              <w:rPr>
                                <w:b/>
                                <w:color w:val="31849B" w:themeColor="accent5" w:themeShade="BF"/>
                                <w:sz w:val="32"/>
                              </w:rPr>
                              <w:t xml:space="preserve">Legislative </w:t>
                            </w:r>
                            <w:r w:rsidRPr="001D6B51">
                              <w:rPr>
                                <w:b/>
                                <w:color w:val="31849B" w:themeColor="accent5" w:themeShade="BF"/>
                                <w:sz w:val="32"/>
                              </w:rPr>
                              <w:t>Background</w:t>
                            </w:r>
                          </w:p>
                          <w:p w:rsidR="00430B8E" w:rsidRDefault="00430B8E">
                            <w:pPr>
                              <w:spacing w:after="0" w:line="240" w:lineRule="auto"/>
                              <w:ind w:left="180" w:right="210" w:firstLine="180"/>
                              <w:jc w:val="both"/>
                              <w:textDirection w:val="btLr"/>
                            </w:pPr>
                          </w:p>
                          <w:p w:rsidR="00430B8E" w:rsidRDefault="00430B8E" w:rsidP="00EB0050">
                            <w:pPr>
                              <w:spacing w:after="0" w:line="276" w:lineRule="auto"/>
                              <w:ind w:left="270" w:right="330"/>
                              <w:jc w:val="both"/>
                              <w:textDirection w:val="btLr"/>
                              <w:rPr>
                                <w:color w:val="000000"/>
                                <w:sz w:val="20"/>
                              </w:rPr>
                            </w:pPr>
                            <w:r>
                              <w:rPr>
                                <w:color w:val="000000"/>
                                <w:sz w:val="20"/>
                              </w:rPr>
                              <w:t xml:space="preserve">In 2014, former Governor Jerry Brown signed into law a three-bill legislative package, composed of </w:t>
                            </w:r>
                            <w:hyperlink r:id="rId10" w:history="1">
                              <w:r w:rsidRPr="00EB0050">
                                <w:rPr>
                                  <w:rStyle w:val="Hyperlink"/>
                                  <w:sz w:val="20"/>
                                </w:rPr>
                                <w:t>AB 1739 (Dickinson)</w:t>
                              </w:r>
                            </w:hyperlink>
                            <w:r>
                              <w:rPr>
                                <w:color w:val="000000"/>
                                <w:sz w:val="20"/>
                              </w:rPr>
                              <w:t xml:space="preserve">, </w:t>
                            </w:r>
                            <w:hyperlink r:id="rId11" w:history="1">
                              <w:r w:rsidRPr="00EB0050">
                                <w:rPr>
                                  <w:rStyle w:val="Hyperlink"/>
                                  <w:sz w:val="20"/>
                                </w:rPr>
                                <w:t>SB 1168 (</w:t>
                              </w:r>
                              <w:proofErr w:type="spellStart"/>
                              <w:r w:rsidRPr="00EB0050">
                                <w:rPr>
                                  <w:rStyle w:val="Hyperlink"/>
                                  <w:sz w:val="20"/>
                                </w:rPr>
                                <w:t>Pavley</w:t>
                              </w:r>
                              <w:proofErr w:type="spellEnd"/>
                              <w:r w:rsidRPr="00EB0050">
                                <w:rPr>
                                  <w:rStyle w:val="Hyperlink"/>
                                  <w:sz w:val="20"/>
                                </w:rPr>
                                <w:t>)</w:t>
                              </w:r>
                            </w:hyperlink>
                            <w:r>
                              <w:rPr>
                                <w:color w:val="000000"/>
                                <w:sz w:val="20"/>
                              </w:rPr>
                              <w:t xml:space="preserve">, and </w:t>
                            </w:r>
                            <w:hyperlink r:id="rId12" w:history="1">
                              <w:r w:rsidRPr="00EB0050">
                                <w:rPr>
                                  <w:rStyle w:val="Hyperlink"/>
                                  <w:sz w:val="20"/>
                                </w:rPr>
                                <w:t>SB 1319 (</w:t>
                              </w:r>
                              <w:proofErr w:type="spellStart"/>
                              <w:r w:rsidRPr="00EB0050">
                                <w:rPr>
                                  <w:rStyle w:val="Hyperlink"/>
                                  <w:sz w:val="20"/>
                                </w:rPr>
                                <w:t>Pavley</w:t>
                              </w:r>
                              <w:proofErr w:type="spellEnd"/>
                              <w:r w:rsidRPr="00EB0050">
                                <w:rPr>
                                  <w:rStyle w:val="Hyperlink"/>
                                  <w:sz w:val="20"/>
                                </w:rPr>
                                <w:t>)</w:t>
                              </w:r>
                            </w:hyperlink>
                            <w:r>
                              <w:rPr>
                                <w:color w:val="000000"/>
                                <w:sz w:val="20"/>
                              </w:rPr>
                              <w:t xml:space="preserve">, collectively known as the </w:t>
                            </w:r>
                            <w:hyperlink r:id="rId13" w:history="1">
                              <w:r w:rsidRPr="00EB0050">
                                <w:rPr>
                                  <w:rStyle w:val="Hyperlink"/>
                                  <w:sz w:val="20"/>
                                </w:rPr>
                                <w:t>Sustainable Groundwater Management Act</w:t>
                              </w:r>
                            </w:hyperlink>
                            <w:r>
                              <w:rPr>
                                <w:color w:val="000000"/>
                                <w:sz w:val="20"/>
                              </w:rPr>
                              <w:t xml:space="preserve"> (SGMA). </w:t>
                            </w:r>
                          </w:p>
                          <w:p w:rsidR="00430B8E" w:rsidRDefault="00430B8E" w:rsidP="00EB0050">
                            <w:pPr>
                              <w:spacing w:after="0" w:line="276" w:lineRule="auto"/>
                              <w:ind w:left="270" w:right="330"/>
                              <w:jc w:val="both"/>
                              <w:textDirection w:val="btLr"/>
                              <w:rPr>
                                <w:color w:val="000000"/>
                                <w:sz w:val="20"/>
                              </w:rPr>
                            </w:pPr>
                          </w:p>
                          <w:p w:rsidR="00430B8E" w:rsidRDefault="00430B8E" w:rsidP="00522E9B">
                            <w:pPr>
                              <w:spacing w:after="0" w:line="276" w:lineRule="auto"/>
                              <w:ind w:left="288" w:right="288"/>
                              <w:jc w:val="both"/>
                              <w:textDirection w:val="btLr"/>
                            </w:pPr>
                            <w:r>
                              <w:rPr>
                                <w:color w:val="000000"/>
                                <w:sz w:val="20"/>
                              </w:rPr>
                              <w:t xml:space="preserve">With the enactment of SGMA and for the first time in California water history, a regulatory framework was set forth for the sustainable management of groundwater basins over a 20-year planning and implementation horizon. SGMA requires local governments and water agencies of high and medium priority basins to form </w:t>
                            </w:r>
                            <w:hyperlink r:id="rId14" w:history="1">
                              <w:r w:rsidRPr="00522E9B">
                                <w:rPr>
                                  <w:rStyle w:val="Hyperlink"/>
                                </w:rPr>
                                <w:t>groundwater sustainability agencies (GSAs)</w:t>
                              </w:r>
                            </w:hyperlink>
                            <w:r>
                              <w:rPr>
                                <w:color w:val="000000"/>
                                <w:sz w:val="20"/>
                              </w:rPr>
                              <w:t xml:space="preserve"> to develop </w:t>
                            </w:r>
                            <w:hyperlink r:id="rId15" w:history="1">
                              <w:r w:rsidRPr="00522E9B">
                                <w:rPr>
                                  <w:rStyle w:val="Hyperlink"/>
                                </w:rPr>
                                <w:t>groundwater sustainability plans (GSPs)</w:t>
                              </w:r>
                            </w:hyperlink>
                            <w:r>
                              <w:rPr>
                                <w:color w:val="000000"/>
                                <w:sz w:val="20"/>
                              </w:rPr>
                              <w:t xml:space="preserve">. The GSPs will present a roadmap for how GSAs will halt overdraft and undesirable results and bring groundwater basins into balanced levels of pumping and recharge.    </w:t>
                            </w:r>
                          </w:p>
                          <w:p w:rsidR="00430B8E" w:rsidRDefault="00430B8E">
                            <w:pPr>
                              <w:spacing w:after="0" w:line="240" w:lineRule="auto"/>
                              <w:ind w:left="180" w:right="210" w:firstLine="180"/>
                              <w:textDirection w:val="btLr"/>
                            </w:pPr>
                          </w:p>
                          <w:p w:rsidR="00430B8E" w:rsidRDefault="00430B8E">
                            <w:pPr>
                              <w:ind w:left="180" w:right="210" w:firstLine="18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276.75pt;margin-top:4.65pt;width:193.75pt;height:4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NKNAIAAHwEAAAOAAAAZHJzL2Uyb0RvYy54bWysVF+P2jAMf5+07xDlfbQwCkdFOU3HmCbd&#10;bki3fQCTpjRS/i0JtHz7OSkH3O5h0rSX1I4d++ef7S7veyXJkTsvjK7oeJRTwjUztdD7iv78sflw&#10;R4kPoGuQRvOKnrin96v375adLfnEtEbW3BEMon3Z2Yq2IdgyyzxruQI/MpZrNDbGKQioun1WO+gw&#10;upLZJM9nWWdcbZ1h3Hu8XQ9Gukrxm4az8L1pPA9EVhSxhXS6dO7ima2WUO4d2FawMwz4BxQKhMak&#10;l1BrCEAOTrwJpQRzxpsmjJhRmWkawXiqAasZ539U89yC5akWJMfbC03+/4VlT8etI6Ku6EdKNChs&#10;UeSks75E07PdurPmUYwF9o1T8YvQSZ94PF145H0gDC8n01k+mxSUMLQVs0WxKBLT2fW5dT584UaR&#10;KFTUYaMSf3B89AFTouuLS8zmjRT1RkiZlDgc/EE6cgRsqwzjCBlfvPKSmnQI5a6YRyCAs9VICCgq&#10;i9V6vU/5Xj1JU3cNDIxxHYrkJw/qm6mHhPMiz1/quTx5CyDiX4Nvh0cp0TBuzhx0jYihbDnUn3VN&#10;wski8Ro3hEbQXlEiOe4TCskvgJB/90MGpEYcsXlDu6IU+l2fGjyJseLNztQnbLq3bCMQ4yP4sAWH&#10;Yz/G7LgKmPfXARxikV81ztpiPI3NDEmZFnMsnrhby+7WApq1BjcMqR7Eh5D2LdarzadDMI1IHb5C&#10;OWPGEU8sntcx7tCtnryuP43VbwAAAP//AwBQSwMEFAAGAAgAAAAhAIblVRLfAAAACQEAAA8AAABk&#10;cnMvZG93bnJldi54bWxMj8FOwzAQRO9I/IO1SNyo04ZUaYhTVUggpQckSj/AjZckIl4H220CX89y&#10;gtuOZjT7ptzOdhAX9KF3pGC5SEAgNc701Co4vj3d5SBC1GT04AgVfGGAbXV9VerCuIle8XKIreAS&#10;CoVW0MU4FlKGpkOrw8KNSOy9O291ZOlbabyeuNwOcpUka2l1T/yh0yM+dth8HM5WAWK9s/nzKv/2&#10;dX2c9u2+efnUSt3ezLsHEBHn+BeGX3xGh4qZTu5MJohBQZalGUcVbFIQ7G/ul7ztxEeyTkFWpfy/&#10;oPoBAAD//wMAUEsBAi0AFAAGAAgAAAAhALaDOJL+AAAA4QEAABMAAAAAAAAAAAAAAAAAAAAAAFtD&#10;b250ZW50X1R5cGVzXS54bWxQSwECLQAUAAYACAAAACEAOP0h/9YAAACUAQAACwAAAAAAAAAAAAAA&#10;AAAvAQAAX3JlbHMvLnJlbHNQSwECLQAUAAYACAAAACEAOGbTSjQCAAB8BAAADgAAAAAAAAAAAAAA&#10;AAAuAgAAZHJzL2Uyb0RvYy54bWxQSwECLQAUAAYACAAAACEAhuVVEt8AAAAJAQAADwAAAAAAAAAA&#10;AAAAAACOBAAAZHJzL2Rvd25yZXYueG1sUEsFBgAAAAAEAAQA8wAAAJoFAAAAAA==&#10;" fillcolor="white [3201]" strokecolor="#31849b [2408]" strokeweight="2.25pt">
                <v:stroke startarrowwidth="narrow" startarrowlength="short" endarrowwidth="narrow" endarrowlength="short" joinstyle="round"/>
                <v:textbox inset="2.53958mm,1.2694mm,2.53958mm,1.2694mm">
                  <w:txbxContent>
                    <w:p w:rsidR="00430B8E" w:rsidRDefault="00430B8E">
                      <w:pPr>
                        <w:spacing w:after="0" w:line="240" w:lineRule="auto"/>
                        <w:ind w:left="180" w:right="210"/>
                        <w:textDirection w:val="btLr"/>
                      </w:pPr>
                    </w:p>
                    <w:p w:rsidR="00430B8E" w:rsidRPr="001D6B51" w:rsidRDefault="00430B8E">
                      <w:pPr>
                        <w:spacing w:after="0" w:line="240" w:lineRule="auto"/>
                        <w:ind w:left="180" w:right="210"/>
                        <w:textDirection w:val="btLr"/>
                        <w:rPr>
                          <w:color w:val="31849B" w:themeColor="accent5" w:themeShade="BF"/>
                        </w:rPr>
                      </w:pPr>
                      <w:r>
                        <w:rPr>
                          <w:b/>
                          <w:color w:val="31849B" w:themeColor="accent5" w:themeShade="BF"/>
                          <w:sz w:val="32"/>
                        </w:rPr>
                        <w:t xml:space="preserve">Legislative </w:t>
                      </w:r>
                      <w:r w:rsidRPr="001D6B51">
                        <w:rPr>
                          <w:b/>
                          <w:color w:val="31849B" w:themeColor="accent5" w:themeShade="BF"/>
                          <w:sz w:val="32"/>
                        </w:rPr>
                        <w:t>Background</w:t>
                      </w:r>
                    </w:p>
                    <w:p w:rsidR="00430B8E" w:rsidRDefault="00430B8E">
                      <w:pPr>
                        <w:spacing w:after="0" w:line="240" w:lineRule="auto"/>
                        <w:ind w:left="180" w:right="210" w:firstLine="180"/>
                        <w:jc w:val="both"/>
                        <w:textDirection w:val="btLr"/>
                      </w:pPr>
                    </w:p>
                    <w:p w:rsidR="00430B8E" w:rsidRDefault="00430B8E" w:rsidP="00EB0050">
                      <w:pPr>
                        <w:spacing w:after="0" w:line="276" w:lineRule="auto"/>
                        <w:ind w:left="270" w:right="330"/>
                        <w:jc w:val="both"/>
                        <w:textDirection w:val="btLr"/>
                        <w:rPr>
                          <w:color w:val="000000"/>
                          <w:sz w:val="20"/>
                        </w:rPr>
                      </w:pPr>
                      <w:r>
                        <w:rPr>
                          <w:color w:val="000000"/>
                          <w:sz w:val="20"/>
                        </w:rPr>
                        <w:t xml:space="preserve">In 2014, former Governor Jerry Brown signed into law a three-bill legislative package, composed of </w:t>
                      </w:r>
                      <w:hyperlink r:id="rId16" w:history="1">
                        <w:r w:rsidRPr="00EB0050">
                          <w:rPr>
                            <w:rStyle w:val="Hyperlink"/>
                            <w:sz w:val="20"/>
                          </w:rPr>
                          <w:t>AB 1739 (Dickinson)</w:t>
                        </w:r>
                      </w:hyperlink>
                      <w:r>
                        <w:rPr>
                          <w:color w:val="000000"/>
                          <w:sz w:val="20"/>
                        </w:rPr>
                        <w:t xml:space="preserve">, </w:t>
                      </w:r>
                      <w:hyperlink r:id="rId17" w:history="1">
                        <w:r w:rsidRPr="00EB0050">
                          <w:rPr>
                            <w:rStyle w:val="Hyperlink"/>
                            <w:sz w:val="20"/>
                          </w:rPr>
                          <w:t>SB 1168 (Pavley)</w:t>
                        </w:r>
                      </w:hyperlink>
                      <w:r>
                        <w:rPr>
                          <w:color w:val="000000"/>
                          <w:sz w:val="20"/>
                        </w:rPr>
                        <w:t xml:space="preserve">, and </w:t>
                      </w:r>
                      <w:hyperlink r:id="rId18" w:history="1">
                        <w:r w:rsidRPr="00EB0050">
                          <w:rPr>
                            <w:rStyle w:val="Hyperlink"/>
                            <w:sz w:val="20"/>
                          </w:rPr>
                          <w:t>SB 1319 (Pavley)</w:t>
                        </w:r>
                      </w:hyperlink>
                      <w:r>
                        <w:rPr>
                          <w:color w:val="000000"/>
                          <w:sz w:val="20"/>
                        </w:rPr>
                        <w:t xml:space="preserve">, collectively known as the </w:t>
                      </w:r>
                      <w:hyperlink r:id="rId19" w:history="1">
                        <w:r w:rsidRPr="00EB0050">
                          <w:rPr>
                            <w:rStyle w:val="Hyperlink"/>
                            <w:sz w:val="20"/>
                          </w:rPr>
                          <w:t>Sustainable Groundwater Management Act</w:t>
                        </w:r>
                      </w:hyperlink>
                      <w:r>
                        <w:rPr>
                          <w:color w:val="000000"/>
                          <w:sz w:val="20"/>
                        </w:rPr>
                        <w:t xml:space="preserve"> (SGMA). </w:t>
                      </w:r>
                    </w:p>
                    <w:p w:rsidR="00430B8E" w:rsidRDefault="00430B8E" w:rsidP="00EB0050">
                      <w:pPr>
                        <w:spacing w:after="0" w:line="276" w:lineRule="auto"/>
                        <w:ind w:left="270" w:right="330"/>
                        <w:jc w:val="both"/>
                        <w:textDirection w:val="btLr"/>
                        <w:rPr>
                          <w:color w:val="000000"/>
                          <w:sz w:val="20"/>
                        </w:rPr>
                      </w:pPr>
                    </w:p>
                    <w:p w:rsidR="00430B8E" w:rsidRDefault="00430B8E" w:rsidP="00522E9B">
                      <w:pPr>
                        <w:spacing w:after="0" w:line="276" w:lineRule="auto"/>
                        <w:ind w:left="288" w:right="288"/>
                        <w:jc w:val="both"/>
                        <w:textDirection w:val="btLr"/>
                      </w:pPr>
                      <w:r>
                        <w:rPr>
                          <w:color w:val="000000"/>
                          <w:sz w:val="20"/>
                        </w:rPr>
                        <w:t xml:space="preserve">With the enactment of SGMA and for the first time in California water history, a regulatory framework was set forth for the sustainable management of groundwater basins over a 20-year planning and implementation horizon. SGMA requires local governments and water agencies of high and medium priority basins to form </w:t>
                      </w:r>
                      <w:hyperlink r:id="rId20" w:history="1">
                        <w:r w:rsidRPr="00522E9B">
                          <w:rPr>
                            <w:rStyle w:val="Hyperlink"/>
                          </w:rPr>
                          <w:t>groundwater sustainability agencies (GSAs)</w:t>
                        </w:r>
                      </w:hyperlink>
                      <w:r>
                        <w:rPr>
                          <w:color w:val="000000"/>
                          <w:sz w:val="20"/>
                        </w:rPr>
                        <w:t xml:space="preserve"> to develop </w:t>
                      </w:r>
                      <w:hyperlink r:id="rId21" w:history="1">
                        <w:r w:rsidRPr="00522E9B">
                          <w:rPr>
                            <w:rStyle w:val="Hyperlink"/>
                          </w:rPr>
                          <w:t>groundwater sustainability plans (GSPs)</w:t>
                        </w:r>
                      </w:hyperlink>
                      <w:r>
                        <w:rPr>
                          <w:color w:val="000000"/>
                          <w:sz w:val="20"/>
                        </w:rPr>
                        <w:t xml:space="preserve">. The GSPs will present a roadmap for how GSAs will halt overdraft and undesirable results and bring groundwater basins into balanced levels of pumping and recharge.    </w:t>
                      </w:r>
                    </w:p>
                    <w:p w:rsidR="00430B8E" w:rsidRDefault="00430B8E">
                      <w:pPr>
                        <w:spacing w:after="0" w:line="240" w:lineRule="auto"/>
                        <w:ind w:left="180" w:right="210" w:firstLine="180"/>
                        <w:textDirection w:val="btLr"/>
                      </w:pPr>
                    </w:p>
                    <w:p w:rsidR="00430B8E" w:rsidRDefault="00430B8E">
                      <w:pPr>
                        <w:ind w:left="180" w:right="210" w:firstLine="180"/>
                        <w:textDirection w:val="btLr"/>
                      </w:pPr>
                    </w:p>
                  </w:txbxContent>
                </v:textbox>
                <w10:wrap type="square"/>
              </v:rect>
            </w:pict>
          </mc:Fallback>
        </mc:AlternateContent>
      </w:r>
      <w:r w:rsidR="00750B95">
        <w:rPr>
          <w:sz w:val="22"/>
          <w:szCs w:val="22"/>
        </w:rPr>
        <w:t>The Association of California Water Agencies (ACWA) has prepared this framework in response to a growing need to address unsustainable groundwater levels statewide through increased groundwater replenishment activities. Basins throughout California are currently designated as high and medium priority basins as well as critically over-drafted. Many of these basins are impacted by undesirable results such as lowering groundwater levels, local subsidence, and degraded groundwater quality. There is widespread recognition that further action will be required to promote and achieve groundwater sustainability statewide. This framework sum</w:t>
      </w:r>
      <w:r w:rsidR="00EB0050">
        <w:rPr>
          <w:sz w:val="22"/>
          <w:szCs w:val="22"/>
        </w:rPr>
        <w:t xml:space="preserve">marizes </w:t>
      </w:r>
      <w:r w:rsidR="005E3731">
        <w:rPr>
          <w:sz w:val="22"/>
          <w:szCs w:val="22"/>
        </w:rPr>
        <w:t xml:space="preserve">the </w:t>
      </w:r>
      <w:r w:rsidR="00EB0050">
        <w:rPr>
          <w:sz w:val="22"/>
          <w:szCs w:val="22"/>
        </w:rPr>
        <w:t xml:space="preserve">tools and resources, as well as a narrative framework and checklist </w:t>
      </w:r>
      <w:r w:rsidR="00750B95">
        <w:rPr>
          <w:sz w:val="22"/>
          <w:szCs w:val="22"/>
        </w:rPr>
        <w:t xml:space="preserve">for water managers to consider as groundwater recharge projects and activities are further developed. </w:t>
      </w:r>
    </w:p>
    <w:p w:rsidR="007F09C3" w:rsidRDefault="007F09C3" w:rsidP="00EB0050">
      <w:pPr>
        <w:spacing w:after="0" w:line="276" w:lineRule="auto"/>
        <w:jc w:val="both"/>
        <w:rPr>
          <w:sz w:val="22"/>
          <w:szCs w:val="22"/>
        </w:rPr>
      </w:pPr>
    </w:p>
    <w:p w:rsidR="007F09C3" w:rsidRDefault="005E3731" w:rsidP="005E3731">
      <w:pPr>
        <w:spacing w:after="0" w:line="276" w:lineRule="auto"/>
        <w:jc w:val="both"/>
        <w:rPr>
          <w:sz w:val="22"/>
          <w:szCs w:val="22"/>
        </w:rPr>
      </w:pPr>
      <w:r>
        <w:rPr>
          <w:sz w:val="22"/>
          <w:szCs w:val="22"/>
        </w:rPr>
        <w:t xml:space="preserve">This </w:t>
      </w:r>
      <w:r w:rsidR="00750B95">
        <w:rPr>
          <w:sz w:val="22"/>
          <w:szCs w:val="22"/>
        </w:rPr>
        <w:t xml:space="preserve">framework </w:t>
      </w:r>
      <w:r>
        <w:rPr>
          <w:sz w:val="22"/>
          <w:szCs w:val="22"/>
        </w:rPr>
        <w:t xml:space="preserve">document </w:t>
      </w:r>
      <w:r w:rsidR="00750B95">
        <w:rPr>
          <w:sz w:val="22"/>
          <w:szCs w:val="22"/>
        </w:rPr>
        <w:t xml:space="preserve">builds on the Association’s Board-adopted </w:t>
      </w:r>
      <w:hyperlink r:id="rId22" w:history="1">
        <w:r w:rsidR="00750B95" w:rsidRPr="005E3731">
          <w:rPr>
            <w:rStyle w:val="Hyperlink"/>
            <w:sz w:val="22"/>
            <w:szCs w:val="22"/>
          </w:rPr>
          <w:t>Groundwater Management Policy Principles (March 2009)</w:t>
        </w:r>
      </w:hyperlink>
      <w:r w:rsidR="00750B95">
        <w:rPr>
          <w:sz w:val="22"/>
          <w:szCs w:val="22"/>
        </w:rPr>
        <w:t xml:space="preserve">, ACWA’s landmark document, </w:t>
      </w:r>
      <w:hyperlink r:id="rId23" w:history="1">
        <w:r w:rsidR="00750B95" w:rsidRPr="00EB0050">
          <w:rPr>
            <w:rStyle w:val="Hyperlink"/>
            <w:sz w:val="22"/>
            <w:szCs w:val="22"/>
          </w:rPr>
          <w:t>“Sustainability from the Ground Up: A Framework for Groundwater Management in California” (April 2011)</w:t>
        </w:r>
      </w:hyperlink>
      <w:r w:rsidR="00750B95">
        <w:rPr>
          <w:sz w:val="22"/>
          <w:szCs w:val="22"/>
        </w:rPr>
        <w:t xml:space="preserve">, and ACWA’s </w:t>
      </w:r>
      <w:hyperlink r:id="rId24" w:history="1">
        <w:r w:rsidR="00750B95" w:rsidRPr="00EB0050">
          <w:rPr>
            <w:rStyle w:val="Hyperlink"/>
            <w:sz w:val="22"/>
            <w:szCs w:val="22"/>
          </w:rPr>
          <w:t>“Recommendations for Achieving Groundwater Sustainability” (April 2014)</w:t>
        </w:r>
      </w:hyperlink>
      <w:r w:rsidR="00750B95">
        <w:rPr>
          <w:sz w:val="22"/>
          <w:szCs w:val="22"/>
        </w:rPr>
        <w:t>. Each of these documents provide an in-depth look at groundwater management in California with recommended proactive steps to overall advance groundwater sustainability.</w:t>
      </w:r>
      <w:r>
        <w:rPr>
          <w:sz w:val="22"/>
          <w:szCs w:val="22"/>
        </w:rPr>
        <w:t xml:space="preserve"> </w:t>
      </w:r>
    </w:p>
    <w:p w:rsidR="007F09C3" w:rsidRDefault="007F09C3" w:rsidP="00EB0050">
      <w:pPr>
        <w:spacing w:after="0" w:line="276" w:lineRule="auto"/>
        <w:jc w:val="both"/>
        <w:rPr>
          <w:sz w:val="22"/>
          <w:szCs w:val="22"/>
        </w:rPr>
      </w:pPr>
    </w:p>
    <w:p w:rsidR="007F09C3" w:rsidRDefault="00EB0050" w:rsidP="00EB0050">
      <w:pPr>
        <w:spacing w:after="0" w:line="276" w:lineRule="auto"/>
        <w:jc w:val="both"/>
        <w:rPr>
          <w:sz w:val="22"/>
          <w:szCs w:val="22"/>
        </w:rPr>
      </w:pPr>
      <w:r>
        <w:rPr>
          <w:noProof/>
        </w:rPr>
        <w:drawing>
          <wp:anchor distT="0" distB="0" distL="114300" distR="114300" simplePos="0" relativeHeight="251668480" behindDoc="1" locked="0" layoutInCell="1" hidden="0" allowOverlap="1" wp14:anchorId="0C5B9C76" wp14:editId="318E1AAB">
            <wp:simplePos x="0" y="0"/>
            <wp:positionH relativeFrom="column">
              <wp:posOffset>3545650</wp:posOffset>
            </wp:positionH>
            <wp:positionV relativeFrom="paragraph">
              <wp:posOffset>638810</wp:posOffset>
            </wp:positionV>
            <wp:extent cx="2388235" cy="1186815"/>
            <wp:effectExtent l="76200" t="76200" r="126365" b="127635"/>
            <wp:wrapTight wrapText="bothSides">
              <wp:wrapPolygon edited="0">
                <wp:start x="-345" y="-1387"/>
                <wp:lineTo x="-689" y="-1040"/>
                <wp:lineTo x="-689" y="22189"/>
                <wp:lineTo x="-345" y="23576"/>
                <wp:lineTo x="22226" y="23576"/>
                <wp:lineTo x="22571" y="21496"/>
                <wp:lineTo x="22571" y="4507"/>
                <wp:lineTo x="22226" y="-693"/>
                <wp:lineTo x="22226" y="-1387"/>
                <wp:lineTo x="-345" y="-1387"/>
              </wp:wrapPolygon>
            </wp:wrapTight>
            <wp:docPr id="6" name="image3.jpg" descr="D:\Users\melissas\AppData\Local\Microsoft\Windows\INetCache\Content.MSO\74CF20D1.tmp"/>
            <wp:cNvGraphicFramePr/>
            <a:graphic xmlns:a="http://schemas.openxmlformats.org/drawingml/2006/main">
              <a:graphicData uri="http://schemas.openxmlformats.org/drawingml/2006/picture">
                <pic:pic xmlns:pic="http://schemas.openxmlformats.org/drawingml/2006/picture">
                  <pic:nvPicPr>
                    <pic:cNvPr id="0" name="image3.jpg" descr="D:\Users\melissas\AppData\Local\Microsoft\Windows\INetCache\Content.MSO\74CF20D1.tmp"/>
                    <pic:cNvPicPr preferRelativeResize="0"/>
                  </pic:nvPicPr>
                  <pic:blipFill>
                    <a:blip r:embed="rId25"/>
                    <a:srcRect l="6062" r="4618"/>
                    <a:stretch>
                      <a:fillRect/>
                    </a:stretch>
                  </pic:blipFill>
                  <pic:spPr>
                    <a:xfrm>
                      <a:off x="0" y="0"/>
                      <a:ext cx="2388235" cy="1186815"/>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50B95">
        <w:rPr>
          <w:sz w:val="22"/>
          <w:szCs w:val="22"/>
        </w:rPr>
        <w:t>The implementation of this framework will support local water managers to identify the potential for and enhance current groundwater recharge activities, significantly improve groundwater management capabilities where they are deficient, accelerate the achievement of sustainability by local and regional entities, and guide state support where needed.</w:t>
      </w:r>
      <w:r w:rsidR="005E3731">
        <w:rPr>
          <w:sz w:val="22"/>
          <w:szCs w:val="22"/>
        </w:rPr>
        <w:t xml:space="preserve"> </w:t>
      </w:r>
    </w:p>
    <w:p w:rsidR="00EB0050" w:rsidRDefault="00EB0050" w:rsidP="00EB0050">
      <w:pPr>
        <w:spacing w:after="0" w:line="276" w:lineRule="auto"/>
        <w:jc w:val="both"/>
        <w:rPr>
          <w:sz w:val="22"/>
          <w:szCs w:val="22"/>
        </w:rPr>
      </w:pPr>
    </w:p>
    <w:p w:rsidR="002B2541" w:rsidRDefault="002B2541">
      <w:pPr>
        <w:rPr>
          <w:b/>
          <w:color w:val="487B78"/>
          <w:sz w:val="40"/>
          <w:szCs w:val="40"/>
        </w:rPr>
      </w:pPr>
      <w:r>
        <w:br w:type="page"/>
      </w:r>
    </w:p>
    <w:p w:rsidR="007F09C3" w:rsidRDefault="002B2541" w:rsidP="00754A5E">
      <w:pPr>
        <w:pStyle w:val="Heading1"/>
        <w:spacing w:before="0" w:after="120"/>
      </w:pPr>
      <w:r>
        <w:lastRenderedPageBreak/>
        <w:t xml:space="preserve">Policy </w:t>
      </w:r>
      <w:r w:rsidR="00754A5E">
        <w:t>Context for Groundwater Replenishment</w:t>
      </w:r>
    </w:p>
    <w:p w:rsidR="007F09C3" w:rsidRDefault="00463E18" w:rsidP="00463E18">
      <w:pPr>
        <w:spacing w:after="0" w:line="276" w:lineRule="auto"/>
        <w:rPr>
          <w:sz w:val="22"/>
          <w:szCs w:val="22"/>
        </w:rPr>
      </w:pPr>
      <w:r>
        <w:rPr>
          <w:noProof/>
          <w:sz w:val="22"/>
          <w:szCs w:val="22"/>
        </w:rPr>
        <mc:AlternateContent>
          <mc:Choice Requires="wps">
            <w:drawing>
              <wp:anchor distT="0" distB="0" distL="114300" distR="114300" simplePos="0" relativeHeight="251699200" behindDoc="0" locked="0" layoutInCell="1" allowOverlap="1">
                <wp:simplePos x="0" y="0"/>
                <wp:positionH relativeFrom="column">
                  <wp:posOffset>68239</wp:posOffset>
                </wp:positionH>
                <wp:positionV relativeFrom="paragraph">
                  <wp:posOffset>1033287</wp:posOffset>
                </wp:positionV>
                <wp:extent cx="5636526" cy="5882185"/>
                <wp:effectExtent l="19050" t="19050" r="21590" b="23495"/>
                <wp:wrapNone/>
                <wp:docPr id="14" name="Text Box 14"/>
                <wp:cNvGraphicFramePr/>
                <a:graphic xmlns:a="http://schemas.openxmlformats.org/drawingml/2006/main">
                  <a:graphicData uri="http://schemas.microsoft.com/office/word/2010/wordprocessingShape">
                    <wps:wsp>
                      <wps:cNvSpPr txBox="1"/>
                      <wps:spPr>
                        <a:xfrm>
                          <a:off x="0" y="0"/>
                          <a:ext cx="5636526" cy="5882185"/>
                        </a:xfrm>
                        <a:prstGeom prst="rect">
                          <a:avLst/>
                        </a:prstGeom>
                        <a:solidFill>
                          <a:schemeClr val="lt1"/>
                        </a:solidFill>
                        <a:ln w="28575">
                          <a:solidFill>
                            <a:schemeClr val="accent5">
                              <a:lumMod val="75000"/>
                            </a:schemeClr>
                          </a:solidFill>
                        </a:ln>
                      </wps:spPr>
                      <wps:txbx>
                        <w:txbxContent>
                          <w:p w:rsidR="00430B8E" w:rsidRDefault="00430B8E" w:rsidP="00463E18">
                            <w:pPr>
                              <w:pBdr>
                                <w:top w:val="nil"/>
                                <w:left w:val="nil"/>
                                <w:bottom w:val="nil"/>
                                <w:right w:val="nil"/>
                                <w:between w:val="nil"/>
                              </w:pBdr>
                              <w:spacing w:before="120" w:after="0" w:line="276" w:lineRule="auto"/>
                              <w:ind w:left="360" w:right="433"/>
                              <w:rPr>
                                <w:color w:val="000000"/>
                                <w:sz w:val="22"/>
                                <w:szCs w:val="22"/>
                              </w:rPr>
                            </w:pPr>
                            <w:r w:rsidRPr="002979FC">
                              <w:rPr>
                                <w:b/>
                                <w:color w:val="000000"/>
                                <w:sz w:val="22"/>
                                <w:szCs w:val="22"/>
                              </w:rPr>
                              <w:t>Promote Local Management</w:t>
                            </w:r>
                            <w:r>
                              <w:rPr>
                                <w:b/>
                                <w:color w:val="000000"/>
                                <w:sz w:val="22"/>
                                <w:szCs w:val="22"/>
                              </w:rPr>
                              <w:t>:</w:t>
                            </w:r>
                            <w:r>
                              <w:rPr>
                                <w:color w:val="000000"/>
                                <w:sz w:val="22"/>
                                <w:szCs w:val="22"/>
                              </w:rPr>
                              <w:t xml:space="preserve"> Continue </w:t>
                            </w:r>
                            <w:r w:rsidRPr="002979FC">
                              <w:rPr>
                                <w:color w:val="000000"/>
                                <w:sz w:val="22"/>
                                <w:szCs w:val="22"/>
                              </w:rPr>
                              <w:t xml:space="preserve">groundwater basins </w:t>
                            </w:r>
                            <w:r>
                              <w:rPr>
                                <w:color w:val="000000"/>
                                <w:sz w:val="22"/>
                                <w:szCs w:val="22"/>
                              </w:rPr>
                              <w:t>management by l</w:t>
                            </w:r>
                            <w:r w:rsidRPr="002979FC">
                              <w:rPr>
                                <w:color w:val="000000"/>
                                <w:sz w:val="22"/>
                                <w:szCs w:val="22"/>
                              </w:rPr>
                              <w:t xml:space="preserve">ocal and regional agencies with input from local stakeholders through </w:t>
                            </w:r>
                            <w:r>
                              <w:rPr>
                                <w:color w:val="000000"/>
                                <w:sz w:val="22"/>
                                <w:szCs w:val="22"/>
                              </w:rPr>
                              <w:t>GSAs and development of GSPs.</w:t>
                            </w:r>
                          </w:p>
                          <w:p w:rsidR="00430B8E" w:rsidRDefault="00430B8E" w:rsidP="00463E18">
                            <w:pPr>
                              <w:pBdr>
                                <w:top w:val="nil"/>
                                <w:left w:val="nil"/>
                                <w:bottom w:val="nil"/>
                                <w:right w:val="nil"/>
                                <w:between w:val="nil"/>
                              </w:pBdr>
                              <w:spacing w:after="0" w:line="276" w:lineRule="auto"/>
                              <w:ind w:left="360" w:right="433"/>
                              <w:rPr>
                                <w:color w:val="000000"/>
                                <w:sz w:val="22"/>
                                <w:szCs w:val="22"/>
                              </w:rPr>
                            </w:pPr>
                          </w:p>
                          <w:p w:rsidR="00430B8E" w:rsidRDefault="00430B8E" w:rsidP="00463E18">
                            <w:pPr>
                              <w:pBdr>
                                <w:top w:val="nil"/>
                                <w:left w:val="nil"/>
                                <w:bottom w:val="nil"/>
                                <w:right w:val="nil"/>
                                <w:between w:val="nil"/>
                              </w:pBdr>
                              <w:spacing w:after="0" w:line="276" w:lineRule="auto"/>
                              <w:ind w:left="360" w:right="433"/>
                              <w:rPr>
                                <w:color w:val="000000"/>
                                <w:sz w:val="22"/>
                                <w:szCs w:val="22"/>
                              </w:rPr>
                            </w:pPr>
                            <w:r w:rsidRPr="002979FC">
                              <w:rPr>
                                <w:b/>
                                <w:color w:val="000000"/>
                                <w:sz w:val="22"/>
                                <w:szCs w:val="22"/>
                              </w:rPr>
                              <w:t>Increase Groundwater Storage</w:t>
                            </w:r>
                            <w:r>
                              <w:rPr>
                                <w:b/>
                                <w:color w:val="000000"/>
                                <w:sz w:val="22"/>
                                <w:szCs w:val="22"/>
                              </w:rPr>
                              <w:t>:</w:t>
                            </w:r>
                            <w:r w:rsidRPr="002979FC">
                              <w:rPr>
                                <w:color w:val="000000"/>
                                <w:sz w:val="22"/>
                                <w:szCs w:val="22"/>
                              </w:rPr>
                              <w:t xml:space="preserve"> </w:t>
                            </w:r>
                            <w:r>
                              <w:rPr>
                                <w:color w:val="000000"/>
                                <w:sz w:val="22"/>
                                <w:szCs w:val="22"/>
                              </w:rPr>
                              <w:t>Increase s</w:t>
                            </w:r>
                            <w:r w:rsidRPr="002979FC">
                              <w:rPr>
                                <w:color w:val="000000"/>
                                <w:sz w:val="22"/>
                                <w:szCs w:val="22"/>
                              </w:rPr>
                              <w:t>urface water in underground storage basins</w:t>
                            </w:r>
                            <w:r>
                              <w:rPr>
                                <w:color w:val="000000"/>
                                <w:sz w:val="22"/>
                                <w:szCs w:val="22"/>
                              </w:rPr>
                              <w:t xml:space="preserve"> and develop </w:t>
                            </w:r>
                            <w:r w:rsidRPr="002979FC">
                              <w:rPr>
                                <w:color w:val="000000"/>
                                <w:sz w:val="22"/>
                                <w:szCs w:val="22"/>
                              </w:rPr>
                              <w:t>significant new groundwater storage and conjunctive use projects</w:t>
                            </w:r>
                            <w:r>
                              <w:rPr>
                                <w:color w:val="000000"/>
                                <w:sz w:val="22"/>
                                <w:szCs w:val="22"/>
                              </w:rPr>
                              <w:t xml:space="preserve"> </w:t>
                            </w:r>
                            <w:r w:rsidRPr="002979FC">
                              <w:rPr>
                                <w:color w:val="000000"/>
                                <w:sz w:val="22"/>
                                <w:szCs w:val="22"/>
                              </w:rPr>
                              <w:t>to optimize use of the state’s limited and highly variable water supplies</w:t>
                            </w:r>
                            <w:r>
                              <w:rPr>
                                <w:color w:val="000000"/>
                                <w:sz w:val="22"/>
                                <w:szCs w:val="22"/>
                              </w:rPr>
                              <w:t>.</w:t>
                            </w:r>
                          </w:p>
                          <w:p w:rsidR="00430B8E" w:rsidRPr="002979FC" w:rsidRDefault="00430B8E" w:rsidP="00463E18">
                            <w:pPr>
                              <w:pBdr>
                                <w:top w:val="nil"/>
                                <w:left w:val="nil"/>
                                <w:bottom w:val="nil"/>
                                <w:right w:val="nil"/>
                                <w:between w:val="nil"/>
                              </w:pBdr>
                              <w:spacing w:after="0" w:line="276" w:lineRule="auto"/>
                              <w:ind w:left="360" w:right="433"/>
                              <w:rPr>
                                <w:color w:val="000000"/>
                                <w:sz w:val="22"/>
                                <w:szCs w:val="22"/>
                              </w:rPr>
                            </w:pPr>
                          </w:p>
                          <w:p w:rsidR="00430B8E" w:rsidRDefault="00430B8E" w:rsidP="00463E18">
                            <w:pPr>
                              <w:pBdr>
                                <w:top w:val="nil"/>
                                <w:left w:val="nil"/>
                                <w:bottom w:val="nil"/>
                                <w:right w:val="nil"/>
                                <w:between w:val="nil"/>
                              </w:pBdr>
                              <w:spacing w:after="0" w:line="276" w:lineRule="auto"/>
                              <w:ind w:left="360" w:right="433"/>
                              <w:rPr>
                                <w:color w:val="000000"/>
                                <w:sz w:val="22"/>
                                <w:szCs w:val="22"/>
                              </w:rPr>
                            </w:pPr>
                            <w:r w:rsidRPr="002979FC">
                              <w:rPr>
                                <w:b/>
                                <w:color w:val="000000"/>
                                <w:sz w:val="22"/>
                                <w:szCs w:val="22"/>
                              </w:rPr>
                              <w:t>Remove Impediments to Recharge</w:t>
                            </w:r>
                            <w:r>
                              <w:rPr>
                                <w:b/>
                                <w:color w:val="000000"/>
                                <w:sz w:val="22"/>
                                <w:szCs w:val="22"/>
                              </w:rPr>
                              <w:t>:</w:t>
                            </w:r>
                            <w:r w:rsidRPr="002979FC">
                              <w:rPr>
                                <w:color w:val="000000"/>
                                <w:sz w:val="22"/>
                                <w:szCs w:val="22"/>
                              </w:rPr>
                              <w:t xml:space="preserve"> Coordinate and plan</w:t>
                            </w:r>
                            <w:r>
                              <w:rPr>
                                <w:color w:val="000000"/>
                                <w:sz w:val="22"/>
                                <w:szCs w:val="22"/>
                              </w:rPr>
                              <w:t xml:space="preserve"> to</w:t>
                            </w:r>
                            <w:r w:rsidRPr="002979FC">
                              <w:rPr>
                                <w:color w:val="000000"/>
                                <w:sz w:val="22"/>
                                <w:szCs w:val="22"/>
                              </w:rPr>
                              <w:t xml:space="preserve"> use surface water, recycled water, </w:t>
                            </w:r>
                            <w:proofErr w:type="spellStart"/>
                            <w:r w:rsidRPr="002979FC">
                              <w:rPr>
                                <w:color w:val="000000"/>
                                <w:sz w:val="22"/>
                                <w:szCs w:val="22"/>
                              </w:rPr>
                              <w:t>stormwater</w:t>
                            </w:r>
                            <w:proofErr w:type="spellEnd"/>
                            <w:r w:rsidRPr="002979FC">
                              <w:rPr>
                                <w:color w:val="000000"/>
                                <w:sz w:val="22"/>
                                <w:szCs w:val="22"/>
                              </w:rPr>
                              <w:t xml:space="preserve"> and groundwater resources to maximize the availability an</w:t>
                            </w:r>
                            <w:r>
                              <w:rPr>
                                <w:color w:val="000000"/>
                                <w:sz w:val="22"/>
                                <w:szCs w:val="22"/>
                              </w:rPr>
                              <w:t>d reliability of water supplies.</w:t>
                            </w:r>
                          </w:p>
                          <w:p w:rsidR="00430B8E" w:rsidRPr="002979FC" w:rsidRDefault="00430B8E" w:rsidP="00463E18">
                            <w:pPr>
                              <w:pBdr>
                                <w:top w:val="nil"/>
                                <w:left w:val="nil"/>
                                <w:bottom w:val="nil"/>
                                <w:right w:val="nil"/>
                                <w:between w:val="nil"/>
                              </w:pBdr>
                              <w:spacing w:after="0" w:line="276" w:lineRule="auto"/>
                              <w:ind w:left="360" w:right="433"/>
                              <w:rPr>
                                <w:color w:val="000000"/>
                                <w:sz w:val="22"/>
                                <w:szCs w:val="22"/>
                              </w:rPr>
                            </w:pPr>
                          </w:p>
                          <w:p w:rsidR="00430B8E" w:rsidRDefault="00430B8E" w:rsidP="00463E18">
                            <w:pPr>
                              <w:spacing w:after="0" w:line="240" w:lineRule="auto"/>
                              <w:ind w:left="360" w:right="433"/>
                              <w:rPr>
                                <w:color w:val="000000"/>
                                <w:sz w:val="22"/>
                                <w:szCs w:val="22"/>
                              </w:rPr>
                            </w:pPr>
                            <w:r w:rsidRPr="00754A5E">
                              <w:rPr>
                                <w:b/>
                                <w:color w:val="000000"/>
                                <w:sz w:val="22"/>
                                <w:szCs w:val="22"/>
                              </w:rPr>
                              <w:t>Avoid or Minimize Subsidence</w:t>
                            </w:r>
                            <w:r>
                              <w:rPr>
                                <w:b/>
                                <w:color w:val="000000"/>
                                <w:sz w:val="22"/>
                                <w:szCs w:val="22"/>
                              </w:rPr>
                              <w:t>:</w:t>
                            </w:r>
                            <w:r w:rsidRPr="00754A5E">
                              <w:rPr>
                                <w:b/>
                                <w:color w:val="000000"/>
                                <w:sz w:val="22"/>
                                <w:szCs w:val="22"/>
                              </w:rPr>
                              <w:t xml:space="preserve"> </w:t>
                            </w:r>
                            <w:r w:rsidRPr="00820EBA">
                              <w:rPr>
                                <w:bCs/>
                                <w:color w:val="000000"/>
                                <w:sz w:val="22"/>
                                <w:szCs w:val="22"/>
                              </w:rPr>
                              <w:t>Id</w:t>
                            </w:r>
                            <w:r>
                              <w:rPr>
                                <w:color w:val="000000"/>
                                <w:sz w:val="22"/>
                                <w:szCs w:val="22"/>
                              </w:rPr>
                              <w:t xml:space="preserve">entify areas </w:t>
                            </w:r>
                            <w:r w:rsidRPr="00754A5E">
                              <w:rPr>
                                <w:color w:val="000000"/>
                                <w:sz w:val="22"/>
                                <w:szCs w:val="22"/>
                              </w:rPr>
                              <w:t xml:space="preserve">where groundwater pumping is resulting in subsidence at levels causing damage or risk of damage to overlying infrastructure </w:t>
                            </w:r>
                            <w:r>
                              <w:rPr>
                                <w:color w:val="000000"/>
                                <w:sz w:val="22"/>
                                <w:szCs w:val="22"/>
                              </w:rPr>
                              <w:t xml:space="preserve">and increase </w:t>
                            </w:r>
                            <w:r w:rsidRPr="00754A5E">
                              <w:rPr>
                                <w:color w:val="000000"/>
                                <w:sz w:val="22"/>
                                <w:szCs w:val="22"/>
                              </w:rPr>
                              <w:t>additional land use planning, e</w:t>
                            </w:r>
                            <w:r>
                              <w:rPr>
                                <w:color w:val="000000"/>
                                <w:sz w:val="22"/>
                                <w:szCs w:val="22"/>
                              </w:rPr>
                              <w:t xml:space="preserve">ngineering, and capital improvements, </w:t>
                            </w:r>
                            <w:r w:rsidRPr="00754A5E">
                              <w:rPr>
                                <w:color w:val="000000"/>
                                <w:sz w:val="22"/>
                                <w:szCs w:val="22"/>
                              </w:rPr>
                              <w:t>monitoring and reporting requirements.</w:t>
                            </w:r>
                          </w:p>
                          <w:p w:rsidR="00430B8E" w:rsidRPr="00754A5E" w:rsidRDefault="00430B8E" w:rsidP="00463E18">
                            <w:pPr>
                              <w:spacing w:after="0" w:line="240" w:lineRule="auto"/>
                              <w:ind w:left="360" w:right="433"/>
                              <w:rPr>
                                <w:color w:val="000000"/>
                                <w:sz w:val="22"/>
                                <w:szCs w:val="22"/>
                              </w:rPr>
                            </w:pPr>
                          </w:p>
                          <w:p w:rsidR="00430B8E" w:rsidRDefault="00430B8E" w:rsidP="00463E18">
                            <w:pPr>
                              <w:pBdr>
                                <w:top w:val="nil"/>
                                <w:left w:val="nil"/>
                                <w:bottom w:val="nil"/>
                                <w:right w:val="nil"/>
                                <w:between w:val="nil"/>
                              </w:pBdr>
                              <w:spacing w:after="0" w:line="276" w:lineRule="auto"/>
                              <w:ind w:left="360" w:right="433"/>
                              <w:rPr>
                                <w:color w:val="000000"/>
                                <w:sz w:val="22"/>
                                <w:szCs w:val="22"/>
                              </w:rPr>
                            </w:pPr>
                            <w:r w:rsidRPr="002979FC">
                              <w:rPr>
                                <w:b/>
                                <w:color w:val="000000"/>
                                <w:sz w:val="22"/>
                                <w:szCs w:val="22"/>
                              </w:rPr>
                              <w:t>Improve Data Availability</w:t>
                            </w:r>
                            <w:r>
                              <w:rPr>
                                <w:b/>
                                <w:color w:val="000000"/>
                                <w:sz w:val="22"/>
                                <w:szCs w:val="22"/>
                              </w:rPr>
                              <w:t>:</w:t>
                            </w:r>
                            <w:r w:rsidRPr="002979FC">
                              <w:rPr>
                                <w:color w:val="000000"/>
                                <w:sz w:val="22"/>
                                <w:szCs w:val="22"/>
                              </w:rPr>
                              <w:t xml:space="preserve"> </w:t>
                            </w:r>
                            <w:r>
                              <w:rPr>
                                <w:color w:val="000000"/>
                                <w:sz w:val="22"/>
                                <w:szCs w:val="22"/>
                              </w:rPr>
                              <w:t xml:space="preserve">Collect </w:t>
                            </w:r>
                            <w:r w:rsidRPr="002979FC">
                              <w:rPr>
                                <w:color w:val="000000"/>
                                <w:sz w:val="22"/>
                                <w:szCs w:val="22"/>
                              </w:rPr>
                              <w:t xml:space="preserve">appropriate data and make it publicly available both locally and </w:t>
                            </w:r>
                            <w:r>
                              <w:rPr>
                                <w:color w:val="000000"/>
                                <w:sz w:val="22"/>
                                <w:szCs w:val="22"/>
                              </w:rPr>
                              <w:t xml:space="preserve">at </w:t>
                            </w:r>
                            <w:r w:rsidRPr="002979FC">
                              <w:rPr>
                                <w:color w:val="000000"/>
                                <w:sz w:val="22"/>
                                <w:szCs w:val="22"/>
                              </w:rPr>
                              <w:t xml:space="preserve">the state </w:t>
                            </w:r>
                            <w:r>
                              <w:rPr>
                                <w:color w:val="000000"/>
                                <w:sz w:val="22"/>
                                <w:szCs w:val="22"/>
                              </w:rPr>
                              <w:t>level</w:t>
                            </w:r>
                            <w:r w:rsidRPr="002979FC">
                              <w:rPr>
                                <w:color w:val="000000"/>
                                <w:sz w:val="22"/>
                                <w:szCs w:val="22"/>
                              </w:rPr>
                              <w:t>.</w:t>
                            </w:r>
                          </w:p>
                          <w:p w:rsidR="00430B8E" w:rsidRPr="002979FC" w:rsidRDefault="00430B8E" w:rsidP="00463E18">
                            <w:pPr>
                              <w:pBdr>
                                <w:top w:val="nil"/>
                                <w:left w:val="nil"/>
                                <w:bottom w:val="nil"/>
                                <w:right w:val="nil"/>
                                <w:between w:val="nil"/>
                              </w:pBdr>
                              <w:spacing w:after="0" w:line="276" w:lineRule="auto"/>
                              <w:ind w:left="360" w:right="433"/>
                              <w:rPr>
                                <w:color w:val="000000"/>
                                <w:sz w:val="22"/>
                                <w:szCs w:val="22"/>
                              </w:rPr>
                            </w:pPr>
                          </w:p>
                          <w:p w:rsidR="00430B8E" w:rsidRDefault="00430B8E" w:rsidP="00463E18">
                            <w:pPr>
                              <w:pBdr>
                                <w:top w:val="nil"/>
                                <w:left w:val="nil"/>
                                <w:bottom w:val="nil"/>
                                <w:right w:val="nil"/>
                                <w:between w:val="nil"/>
                              </w:pBdr>
                              <w:spacing w:after="0" w:line="276" w:lineRule="auto"/>
                              <w:ind w:left="360" w:right="433"/>
                              <w:rPr>
                                <w:color w:val="000000"/>
                                <w:sz w:val="22"/>
                                <w:szCs w:val="22"/>
                              </w:rPr>
                            </w:pPr>
                            <w:r w:rsidRPr="002979FC">
                              <w:rPr>
                                <w:b/>
                                <w:color w:val="000000"/>
                                <w:sz w:val="22"/>
                                <w:szCs w:val="22"/>
                              </w:rPr>
                              <w:t>Assess Groundwater Connection to Surface Waters</w:t>
                            </w:r>
                            <w:r>
                              <w:rPr>
                                <w:b/>
                                <w:color w:val="000000"/>
                                <w:sz w:val="22"/>
                                <w:szCs w:val="22"/>
                              </w:rPr>
                              <w:t>:</w:t>
                            </w:r>
                            <w:r w:rsidRPr="002979FC">
                              <w:rPr>
                                <w:color w:val="000000"/>
                                <w:sz w:val="22"/>
                                <w:szCs w:val="22"/>
                              </w:rPr>
                              <w:t xml:space="preserve"> </w:t>
                            </w:r>
                            <w:r>
                              <w:rPr>
                                <w:color w:val="000000"/>
                                <w:sz w:val="22"/>
                                <w:szCs w:val="22"/>
                              </w:rPr>
                              <w:t xml:space="preserve">Evaluate the </w:t>
                            </w:r>
                            <w:r w:rsidRPr="002979FC">
                              <w:rPr>
                                <w:color w:val="000000"/>
                                <w:sz w:val="22"/>
                                <w:szCs w:val="22"/>
                              </w:rPr>
                              <w:t xml:space="preserve">relationship </w:t>
                            </w:r>
                            <w:r>
                              <w:rPr>
                                <w:color w:val="000000"/>
                                <w:sz w:val="22"/>
                                <w:szCs w:val="22"/>
                              </w:rPr>
                              <w:t xml:space="preserve">of </w:t>
                            </w:r>
                            <w:r w:rsidRPr="002979FC">
                              <w:rPr>
                                <w:color w:val="000000"/>
                                <w:sz w:val="22"/>
                                <w:szCs w:val="22"/>
                              </w:rPr>
                              <w:t xml:space="preserve">surface water sources </w:t>
                            </w:r>
                            <w:r>
                              <w:rPr>
                                <w:color w:val="000000"/>
                                <w:sz w:val="22"/>
                                <w:szCs w:val="22"/>
                              </w:rPr>
                              <w:t xml:space="preserve">and </w:t>
                            </w:r>
                            <w:r w:rsidRPr="002979FC">
                              <w:rPr>
                                <w:color w:val="000000"/>
                                <w:sz w:val="22"/>
                                <w:szCs w:val="22"/>
                              </w:rPr>
                              <w:t xml:space="preserve">groundwater levels and quality in basins and identify the impacts, if any, on surface water sources </w:t>
                            </w:r>
                            <w:r>
                              <w:rPr>
                                <w:color w:val="000000"/>
                                <w:sz w:val="22"/>
                                <w:szCs w:val="22"/>
                              </w:rPr>
                              <w:t>and its related public benefits.</w:t>
                            </w:r>
                          </w:p>
                          <w:p w:rsidR="00430B8E" w:rsidRPr="002979FC" w:rsidRDefault="00430B8E" w:rsidP="00463E18">
                            <w:pPr>
                              <w:pBdr>
                                <w:top w:val="nil"/>
                                <w:left w:val="nil"/>
                                <w:bottom w:val="nil"/>
                                <w:right w:val="nil"/>
                                <w:between w:val="nil"/>
                              </w:pBdr>
                              <w:spacing w:after="0" w:line="276" w:lineRule="auto"/>
                              <w:ind w:left="360" w:right="433"/>
                              <w:rPr>
                                <w:color w:val="000000"/>
                                <w:sz w:val="22"/>
                                <w:szCs w:val="22"/>
                              </w:rPr>
                            </w:pPr>
                          </w:p>
                          <w:p w:rsidR="00430B8E" w:rsidRPr="002979FC" w:rsidRDefault="00430B8E" w:rsidP="00463E18">
                            <w:pPr>
                              <w:pBdr>
                                <w:top w:val="nil"/>
                                <w:left w:val="nil"/>
                                <w:bottom w:val="nil"/>
                                <w:right w:val="nil"/>
                                <w:between w:val="nil"/>
                              </w:pBdr>
                              <w:spacing w:after="0" w:line="276" w:lineRule="auto"/>
                              <w:ind w:left="360" w:right="433"/>
                              <w:rPr>
                                <w:color w:val="000000"/>
                                <w:sz w:val="22"/>
                                <w:szCs w:val="22"/>
                              </w:rPr>
                            </w:pPr>
                            <w:r w:rsidRPr="002979FC">
                              <w:rPr>
                                <w:b/>
                                <w:color w:val="000000"/>
                                <w:sz w:val="22"/>
                                <w:szCs w:val="22"/>
                              </w:rPr>
                              <w:t>Provide State Financial and Technical Assistance.</w:t>
                            </w:r>
                            <w:r w:rsidRPr="002979FC">
                              <w:rPr>
                                <w:color w:val="000000"/>
                                <w:sz w:val="22"/>
                                <w:szCs w:val="22"/>
                              </w:rPr>
                              <w:t xml:space="preserve"> </w:t>
                            </w:r>
                            <w:r>
                              <w:rPr>
                                <w:color w:val="000000"/>
                                <w:sz w:val="22"/>
                                <w:szCs w:val="22"/>
                              </w:rPr>
                              <w:t>Encourage t</w:t>
                            </w:r>
                            <w:r w:rsidRPr="002979FC">
                              <w:rPr>
                                <w:color w:val="000000"/>
                                <w:sz w:val="22"/>
                                <w:szCs w:val="22"/>
                              </w:rPr>
                              <w:t xml:space="preserve">he state, through DWR, </w:t>
                            </w:r>
                            <w:r>
                              <w:rPr>
                                <w:color w:val="000000"/>
                                <w:sz w:val="22"/>
                                <w:szCs w:val="22"/>
                              </w:rPr>
                              <w:t xml:space="preserve">to </w:t>
                            </w:r>
                            <w:r w:rsidRPr="002979FC">
                              <w:rPr>
                                <w:color w:val="000000"/>
                                <w:sz w:val="22"/>
                                <w:szCs w:val="22"/>
                              </w:rPr>
                              <w:t>continue to provide significant new financial assistance and technical support to local and regional agencies for improving or developing GSPs</w:t>
                            </w:r>
                            <w:r>
                              <w:rPr>
                                <w:color w:val="000000"/>
                                <w:sz w:val="22"/>
                                <w:szCs w:val="22"/>
                              </w:rPr>
                              <w:t xml:space="preserve"> and implementing replenishment projects</w:t>
                            </w:r>
                            <w:r w:rsidRPr="002979FC">
                              <w:rPr>
                                <w:color w:val="000000"/>
                                <w:sz w:val="22"/>
                                <w:szCs w:val="22"/>
                              </w:rPr>
                              <w:t xml:space="preserve">. Developing management capacity in currently critically </w:t>
                            </w:r>
                            <w:proofErr w:type="spellStart"/>
                            <w:r w:rsidRPr="002979FC">
                              <w:rPr>
                                <w:color w:val="000000"/>
                                <w:sz w:val="22"/>
                                <w:szCs w:val="22"/>
                              </w:rPr>
                              <w:t>overdrafted</w:t>
                            </w:r>
                            <w:proofErr w:type="spellEnd"/>
                            <w:r w:rsidRPr="002979FC">
                              <w:rPr>
                                <w:color w:val="000000"/>
                                <w:sz w:val="22"/>
                                <w:szCs w:val="22"/>
                              </w:rPr>
                              <w:t xml:space="preserve"> basins should be the first priority.</w:t>
                            </w:r>
                          </w:p>
                          <w:p w:rsidR="00430B8E" w:rsidRDefault="00430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5.35pt;margin-top:81.35pt;width:443.8pt;height:463.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h9YgIAANQEAAAOAAAAZHJzL2Uyb0RvYy54bWysVMGO2jAQvVfqP1i+lwSWsBQRVpQVVSW6&#10;uxJUezaOA5Fsj2sbEvr1HTsE2G1PVS/Gnnl59rx5w/ShUZIchXUV6Jz2eyklQnMoKr3L6Y/N8tOY&#10;EueZLpgELXJ6Eo4+zD5+mNZmIgawB1kIS5BEu0ltcrr33kySxPG9UMz1wAiNyRKsYh6PdpcUltXI&#10;rmQySNNRUoMtjAUunMPoY5uks8hfloL757J0whOZU3ybj6uN6zasyWzKJjvLzL7i52ewf3iFYpXG&#10;Sy9Uj8wzcrDVH1Sq4hYclL7HQSVQlhUXsQaspp++q2a9Z0bEWlAcZy4yuf9Hy5+OL5ZUBfZuSIlm&#10;Cnu0EY0nX6AhGEJ9auMmCFsbBPoG44jt4g6DoeymtCr8YkEE86j06aJuYOMYzEZ3o2wwooRjLhuP&#10;B/1xFniS6+fGOv9VgCJhk1OL7YuqsuPK+RbaQcJtDmRVLCsp4yFYRiykJUeGzZY+PhLJ36CkJnVO&#10;B+PsPovMb5LRdVcKxrnQvsXJg/oORUt9n6VpdE4g726NddywYU5qDAb1WpXCzjfbJqp91ym4heKE&#10;wlporekMX1ZY/Io5/8IsehG1xPnyz7iUEvDxcN5Rsgf762/xgEeLYJaSGr2dU/fzwKygRH7TaJ7P&#10;/eEwDEM8DLP7AR7sbWZ7m9EHtQBUtI+TbHjcBryX3ba0oF5xDOfhVkwxzfHunPpuu/DtxOEYczGf&#10;RxDa3zC/0mvDA3XoYGjtpnll1pz779E6T9BNAZu8s0GLDV9qmB88lFX0SNC5VfUsP45O7M55zMNs&#10;3p4j6vpnNPsNAAD//wMAUEsDBBQABgAIAAAAIQAWnCHi4AAAAAsBAAAPAAAAZHJzL2Rvd25yZXYu&#10;eG1sTI/NTsMwEITvSLyDtUjcqE2LShLiVAWBijjw0/IAbrwkUeJ1FLtt2qdne4LT7mhGs9/mi9F1&#10;Yo9DaDxpuJ0oEEiltw1VGr43LzcJiBANWdN5Qg1HDLAoLi9yk1l/oC/cr2MluIRCZjTUMfaZlKGs&#10;0Zkw8T0Sez9+cCayHCppB3PgctfJqVJz6UxDfKE2PT7VWLbrndMg23IW3z+Xp/bt9WOV+ufTI95t&#10;tL6+GpcPICKO8S8MZ3xGh4KZtn5HNoiOtbrnJM/5lBcOJGkyA7E9O0mqQBa5/P9D8QsAAP//AwBQ&#10;SwECLQAUAAYACAAAACEAtoM4kv4AAADhAQAAEwAAAAAAAAAAAAAAAAAAAAAAW0NvbnRlbnRfVHlw&#10;ZXNdLnhtbFBLAQItABQABgAIAAAAIQA4/SH/1gAAAJQBAAALAAAAAAAAAAAAAAAAAC8BAABfcmVs&#10;cy8ucmVsc1BLAQItABQABgAIAAAAIQCrvHh9YgIAANQEAAAOAAAAAAAAAAAAAAAAAC4CAABkcnMv&#10;ZTJvRG9jLnhtbFBLAQItABQABgAIAAAAIQAWnCHi4AAAAAsBAAAPAAAAAAAAAAAAAAAAALwEAABk&#10;cnMvZG93bnJldi54bWxQSwUGAAAAAAQABADzAAAAyQUAAAAA&#10;" fillcolor="white [3201]" strokecolor="#31849b [2408]" strokeweight="2.25pt">
                <v:textbox>
                  <w:txbxContent>
                    <w:p w:rsidR="00430B8E" w:rsidRDefault="00430B8E" w:rsidP="00463E18">
                      <w:pPr>
                        <w:pBdr>
                          <w:top w:val="nil"/>
                          <w:left w:val="nil"/>
                          <w:bottom w:val="nil"/>
                          <w:right w:val="nil"/>
                          <w:between w:val="nil"/>
                        </w:pBdr>
                        <w:spacing w:before="120" w:after="0" w:line="276" w:lineRule="auto"/>
                        <w:ind w:left="360" w:right="433"/>
                        <w:rPr>
                          <w:color w:val="000000"/>
                          <w:sz w:val="22"/>
                          <w:szCs w:val="22"/>
                        </w:rPr>
                      </w:pPr>
                      <w:r w:rsidRPr="002979FC">
                        <w:rPr>
                          <w:b/>
                          <w:color w:val="000000"/>
                          <w:sz w:val="22"/>
                          <w:szCs w:val="22"/>
                        </w:rPr>
                        <w:t>Promote Local Management</w:t>
                      </w:r>
                      <w:r>
                        <w:rPr>
                          <w:b/>
                          <w:color w:val="000000"/>
                          <w:sz w:val="22"/>
                          <w:szCs w:val="22"/>
                        </w:rPr>
                        <w:t>:</w:t>
                      </w:r>
                      <w:r>
                        <w:rPr>
                          <w:color w:val="000000"/>
                          <w:sz w:val="22"/>
                          <w:szCs w:val="22"/>
                        </w:rPr>
                        <w:t xml:space="preserve"> Continue </w:t>
                      </w:r>
                      <w:r w:rsidRPr="002979FC">
                        <w:rPr>
                          <w:color w:val="000000"/>
                          <w:sz w:val="22"/>
                          <w:szCs w:val="22"/>
                        </w:rPr>
                        <w:t xml:space="preserve">groundwater basins </w:t>
                      </w:r>
                      <w:r>
                        <w:rPr>
                          <w:color w:val="000000"/>
                          <w:sz w:val="22"/>
                          <w:szCs w:val="22"/>
                        </w:rPr>
                        <w:t>management by l</w:t>
                      </w:r>
                      <w:r w:rsidRPr="002979FC">
                        <w:rPr>
                          <w:color w:val="000000"/>
                          <w:sz w:val="22"/>
                          <w:szCs w:val="22"/>
                        </w:rPr>
                        <w:t xml:space="preserve">ocal and regional agencies with input from local stakeholders through </w:t>
                      </w:r>
                      <w:r>
                        <w:rPr>
                          <w:color w:val="000000"/>
                          <w:sz w:val="22"/>
                          <w:szCs w:val="22"/>
                        </w:rPr>
                        <w:t>GSAs and development of GSPs.</w:t>
                      </w:r>
                    </w:p>
                    <w:p w:rsidR="00430B8E" w:rsidRDefault="00430B8E" w:rsidP="00463E18">
                      <w:pPr>
                        <w:pBdr>
                          <w:top w:val="nil"/>
                          <w:left w:val="nil"/>
                          <w:bottom w:val="nil"/>
                          <w:right w:val="nil"/>
                          <w:between w:val="nil"/>
                        </w:pBdr>
                        <w:spacing w:after="0" w:line="276" w:lineRule="auto"/>
                        <w:ind w:left="360" w:right="433"/>
                        <w:rPr>
                          <w:color w:val="000000"/>
                          <w:sz w:val="22"/>
                          <w:szCs w:val="22"/>
                        </w:rPr>
                      </w:pPr>
                    </w:p>
                    <w:p w:rsidR="00430B8E" w:rsidRDefault="00430B8E" w:rsidP="00463E18">
                      <w:pPr>
                        <w:pBdr>
                          <w:top w:val="nil"/>
                          <w:left w:val="nil"/>
                          <w:bottom w:val="nil"/>
                          <w:right w:val="nil"/>
                          <w:between w:val="nil"/>
                        </w:pBdr>
                        <w:spacing w:after="0" w:line="276" w:lineRule="auto"/>
                        <w:ind w:left="360" w:right="433"/>
                        <w:rPr>
                          <w:color w:val="000000"/>
                          <w:sz w:val="22"/>
                          <w:szCs w:val="22"/>
                        </w:rPr>
                      </w:pPr>
                      <w:r w:rsidRPr="002979FC">
                        <w:rPr>
                          <w:b/>
                          <w:color w:val="000000"/>
                          <w:sz w:val="22"/>
                          <w:szCs w:val="22"/>
                        </w:rPr>
                        <w:t>Increase Groundwater Storage</w:t>
                      </w:r>
                      <w:r>
                        <w:rPr>
                          <w:b/>
                          <w:color w:val="000000"/>
                          <w:sz w:val="22"/>
                          <w:szCs w:val="22"/>
                        </w:rPr>
                        <w:t>:</w:t>
                      </w:r>
                      <w:r w:rsidRPr="002979FC">
                        <w:rPr>
                          <w:color w:val="000000"/>
                          <w:sz w:val="22"/>
                          <w:szCs w:val="22"/>
                        </w:rPr>
                        <w:t xml:space="preserve"> </w:t>
                      </w:r>
                      <w:r>
                        <w:rPr>
                          <w:color w:val="000000"/>
                          <w:sz w:val="22"/>
                          <w:szCs w:val="22"/>
                        </w:rPr>
                        <w:t>Increase s</w:t>
                      </w:r>
                      <w:r w:rsidRPr="002979FC">
                        <w:rPr>
                          <w:color w:val="000000"/>
                          <w:sz w:val="22"/>
                          <w:szCs w:val="22"/>
                        </w:rPr>
                        <w:t>urface water in underground storage basins</w:t>
                      </w:r>
                      <w:r>
                        <w:rPr>
                          <w:color w:val="000000"/>
                          <w:sz w:val="22"/>
                          <w:szCs w:val="22"/>
                        </w:rPr>
                        <w:t xml:space="preserve"> and develop </w:t>
                      </w:r>
                      <w:r w:rsidRPr="002979FC">
                        <w:rPr>
                          <w:color w:val="000000"/>
                          <w:sz w:val="22"/>
                          <w:szCs w:val="22"/>
                        </w:rPr>
                        <w:t>significant new groundwater storage and conjunctive use projects</w:t>
                      </w:r>
                      <w:r>
                        <w:rPr>
                          <w:color w:val="000000"/>
                          <w:sz w:val="22"/>
                          <w:szCs w:val="22"/>
                        </w:rPr>
                        <w:t xml:space="preserve"> </w:t>
                      </w:r>
                      <w:r w:rsidRPr="002979FC">
                        <w:rPr>
                          <w:color w:val="000000"/>
                          <w:sz w:val="22"/>
                          <w:szCs w:val="22"/>
                        </w:rPr>
                        <w:t>to optimize use of the state’s limited and highly variable water supplies</w:t>
                      </w:r>
                      <w:r>
                        <w:rPr>
                          <w:color w:val="000000"/>
                          <w:sz w:val="22"/>
                          <w:szCs w:val="22"/>
                        </w:rPr>
                        <w:t>.</w:t>
                      </w:r>
                    </w:p>
                    <w:p w:rsidR="00430B8E" w:rsidRPr="002979FC" w:rsidRDefault="00430B8E" w:rsidP="00463E18">
                      <w:pPr>
                        <w:pBdr>
                          <w:top w:val="nil"/>
                          <w:left w:val="nil"/>
                          <w:bottom w:val="nil"/>
                          <w:right w:val="nil"/>
                          <w:between w:val="nil"/>
                        </w:pBdr>
                        <w:spacing w:after="0" w:line="276" w:lineRule="auto"/>
                        <w:ind w:left="360" w:right="433"/>
                        <w:rPr>
                          <w:color w:val="000000"/>
                          <w:sz w:val="22"/>
                          <w:szCs w:val="22"/>
                        </w:rPr>
                      </w:pPr>
                    </w:p>
                    <w:p w:rsidR="00430B8E" w:rsidRDefault="00430B8E" w:rsidP="00463E18">
                      <w:pPr>
                        <w:pBdr>
                          <w:top w:val="nil"/>
                          <w:left w:val="nil"/>
                          <w:bottom w:val="nil"/>
                          <w:right w:val="nil"/>
                          <w:between w:val="nil"/>
                        </w:pBdr>
                        <w:spacing w:after="0" w:line="276" w:lineRule="auto"/>
                        <w:ind w:left="360" w:right="433"/>
                        <w:rPr>
                          <w:color w:val="000000"/>
                          <w:sz w:val="22"/>
                          <w:szCs w:val="22"/>
                        </w:rPr>
                      </w:pPr>
                      <w:r w:rsidRPr="002979FC">
                        <w:rPr>
                          <w:b/>
                          <w:color w:val="000000"/>
                          <w:sz w:val="22"/>
                          <w:szCs w:val="22"/>
                        </w:rPr>
                        <w:t>Remove Impediments to Recharge</w:t>
                      </w:r>
                      <w:r>
                        <w:rPr>
                          <w:b/>
                          <w:color w:val="000000"/>
                          <w:sz w:val="22"/>
                          <w:szCs w:val="22"/>
                        </w:rPr>
                        <w:t>:</w:t>
                      </w:r>
                      <w:r w:rsidRPr="002979FC">
                        <w:rPr>
                          <w:color w:val="000000"/>
                          <w:sz w:val="22"/>
                          <w:szCs w:val="22"/>
                        </w:rPr>
                        <w:t xml:space="preserve"> Coordinate and plan</w:t>
                      </w:r>
                      <w:r>
                        <w:rPr>
                          <w:color w:val="000000"/>
                          <w:sz w:val="22"/>
                          <w:szCs w:val="22"/>
                        </w:rPr>
                        <w:t xml:space="preserve"> to</w:t>
                      </w:r>
                      <w:r w:rsidRPr="002979FC">
                        <w:rPr>
                          <w:color w:val="000000"/>
                          <w:sz w:val="22"/>
                          <w:szCs w:val="22"/>
                        </w:rPr>
                        <w:t xml:space="preserve"> use surface water, recycled water, stormwater and groundwater resources to maximize the availability an</w:t>
                      </w:r>
                      <w:r>
                        <w:rPr>
                          <w:color w:val="000000"/>
                          <w:sz w:val="22"/>
                          <w:szCs w:val="22"/>
                        </w:rPr>
                        <w:t>d reliability of water supplies.</w:t>
                      </w:r>
                    </w:p>
                    <w:p w:rsidR="00430B8E" w:rsidRPr="002979FC" w:rsidRDefault="00430B8E" w:rsidP="00463E18">
                      <w:pPr>
                        <w:pBdr>
                          <w:top w:val="nil"/>
                          <w:left w:val="nil"/>
                          <w:bottom w:val="nil"/>
                          <w:right w:val="nil"/>
                          <w:between w:val="nil"/>
                        </w:pBdr>
                        <w:spacing w:after="0" w:line="276" w:lineRule="auto"/>
                        <w:ind w:left="360" w:right="433"/>
                        <w:rPr>
                          <w:color w:val="000000"/>
                          <w:sz w:val="22"/>
                          <w:szCs w:val="22"/>
                        </w:rPr>
                      </w:pPr>
                    </w:p>
                    <w:p w:rsidR="00430B8E" w:rsidRDefault="00430B8E" w:rsidP="00463E18">
                      <w:pPr>
                        <w:spacing w:after="0" w:line="240" w:lineRule="auto"/>
                        <w:ind w:left="360" w:right="433"/>
                        <w:rPr>
                          <w:color w:val="000000"/>
                          <w:sz w:val="22"/>
                          <w:szCs w:val="22"/>
                        </w:rPr>
                      </w:pPr>
                      <w:r w:rsidRPr="00754A5E">
                        <w:rPr>
                          <w:b/>
                          <w:color w:val="000000"/>
                          <w:sz w:val="22"/>
                          <w:szCs w:val="22"/>
                        </w:rPr>
                        <w:t>Avoid or Minimize Subsidence</w:t>
                      </w:r>
                      <w:r>
                        <w:rPr>
                          <w:b/>
                          <w:color w:val="000000"/>
                          <w:sz w:val="22"/>
                          <w:szCs w:val="22"/>
                        </w:rPr>
                        <w:t>:</w:t>
                      </w:r>
                      <w:r w:rsidRPr="00754A5E">
                        <w:rPr>
                          <w:b/>
                          <w:color w:val="000000"/>
                          <w:sz w:val="22"/>
                          <w:szCs w:val="22"/>
                        </w:rPr>
                        <w:t xml:space="preserve"> </w:t>
                      </w:r>
                      <w:r w:rsidRPr="00820EBA">
                        <w:rPr>
                          <w:bCs/>
                          <w:color w:val="000000"/>
                          <w:sz w:val="22"/>
                          <w:szCs w:val="22"/>
                        </w:rPr>
                        <w:t>Id</w:t>
                      </w:r>
                      <w:r>
                        <w:rPr>
                          <w:color w:val="000000"/>
                          <w:sz w:val="22"/>
                          <w:szCs w:val="22"/>
                        </w:rPr>
                        <w:t xml:space="preserve">entify areas </w:t>
                      </w:r>
                      <w:r w:rsidRPr="00754A5E">
                        <w:rPr>
                          <w:color w:val="000000"/>
                          <w:sz w:val="22"/>
                          <w:szCs w:val="22"/>
                        </w:rPr>
                        <w:t xml:space="preserve">where groundwater pumping is resulting in subsidence at levels causing damage or risk of damage to overlying infrastructure </w:t>
                      </w:r>
                      <w:r>
                        <w:rPr>
                          <w:color w:val="000000"/>
                          <w:sz w:val="22"/>
                          <w:szCs w:val="22"/>
                        </w:rPr>
                        <w:t xml:space="preserve">and increase </w:t>
                      </w:r>
                      <w:r w:rsidRPr="00754A5E">
                        <w:rPr>
                          <w:color w:val="000000"/>
                          <w:sz w:val="22"/>
                          <w:szCs w:val="22"/>
                        </w:rPr>
                        <w:t>additional land use planning, e</w:t>
                      </w:r>
                      <w:r>
                        <w:rPr>
                          <w:color w:val="000000"/>
                          <w:sz w:val="22"/>
                          <w:szCs w:val="22"/>
                        </w:rPr>
                        <w:t xml:space="preserve">ngineering, and capital improvements, </w:t>
                      </w:r>
                      <w:r w:rsidRPr="00754A5E">
                        <w:rPr>
                          <w:color w:val="000000"/>
                          <w:sz w:val="22"/>
                          <w:szCs w:val="22"/>
                        </w:rPr>
                        <w:t>monitoring and reporting requirements.</w:t>
                      </w:r>
                    </w:p>
                    <w:p w:rsidR="00430B8E" w:rsidRPr="00754A5E" w:rsidRDefault="00430B8E" w:rsidP="00463E18">
                      <w:pPr>
                        <w:spacing w:after="0" w:line="240" w:lineRule="auto"/>
                        <w:ind w:left="360" w:right="433"/>
                        <w:rPr>
                          <w:color w:val="000000"/>
                          <w:sz w:val="22"/>
                          <w:szCs w:val="22"/>
                        </w:rPr>
                      </w:pPr>
                    </w:p>
                    <w:p w:rsidR="00430B8E" w:rsidRDefault="00430B8E" w:rsidP="00463E18">
                      <w:pPr>
                        <w:pBdr>
                          <w:top w:val="nil"/>
                          <w:left w:val="nil"/>
                          <w:bottom w:val="nil"/>
                          <w:right w:val="nil"/>
                          <w:between w:val="nil"/>
                        </w:pBdr>
                        <w:spacing w:after="0" w:line="276" w:lineRule="auto"/>
                        <w:ind w:left="360" w:right="433"/>
                        <w:rPr>
                          <w:color w:val="000000"/>
                          <w:sz w:val="22"/>
                          <w:szCs w:val="22"/>
                        </w:rPr>
                      </w:pPr>
                      <w:r w:rsidRPr="002979FC">
                        <w:rPr>
                          <w:b/>
                          <w:color w:val="000000"/>
                          <w:sz w:val="22"/>
                          <w:szCs w:val="22"/>
                        </w:rPr>
                        <w:t>Improve Data Availability</w:t>
                      </w:r>
                      <w:r>
                        <w:rPr>
                          <w:b/>
                          <w:color w:val="000000"/>
                          <w:sz w:val="22"/>
                          <w:szCs w:val="22"/>
                        </w:rPr>
                        <w:t>:</w:t>
                      </w:r>
                      <w:r w:rsidRPr="002979FC">
                        <w:rPr>
                          <w:color w:val="000000"/>
                          <w:sz w:val="22"/>
                          <w:szCs w:val="22"/>
                        </w:rPr>
                        <w:t xml:space="preserve"> </w:t>
                      </w:r>
                      <w:r>
                        <w:rPr>
                          <w:color w:val="000000"/>
                          <w:sz w:val="22"/>
                          <w:szCs w:val="22"/>
                        </w:rPr>
                        <w:t xml:space="preserve">Collect </w:t>
                      </w:r>
                      <w:r w:rsidRPr="002979FC">
                        <w:rPr>
                          <w:color w:val="000000"/>
                          <w:sz w:val="22"/>
                          <w:szCs w:val="22"/>
                        </w:rPr>
                        <w:t xml:space="preserve">appropriate data and make it publicly available both locally and </w:t>
                      </w:r>
                      <w:r>
                        <w:rPr>
                          <w:color w:val="000000"/>
                          <w:sz w:val="22"/>
                          <w:szCs w:val="22"/>
                        </w:rPr>
                        <w:t xml:space="preserve">at </w:t>
                      </w:r>
                      <w:r w:rsidRPr="002979FC">
                        <w:rPr>
                          <w:color w:val="000000"/>
                          <w:sz w:val="22"/>
                          <w:szCs w:val="22"/>
                        </w:rPr>
                        <w:t xml:space="preserve">the state </w:t>
                      </w:r>
                      <w:r>
                        <w:rPr>
                          <w:color w:val="000000"/>
                          <w:sz w:val="22"/>
                          <w:szCs w:val="22"/>
                        </w:rPr>
                        <w:t>level</w:t>
                      </w:r>
                      <w:r w:rsidRPr="002979FC">
                        <w:rPr>
                          <w:color w:val="000000"/>
                          <w:sz w:val="22"/>
                          <w:szCs w:val="22"/>
                        </w:rPr>
                        <w:t>.</w:t>
                      </w:r>
                    </w:p>
                    <w:p w:rsidR="00430B8E" w:rsidRPr="002979FC" w:rsidRDefault="00430B8E" w:rsidP="00463E18">
                      <w:pPr>
                        <w:pBdr>
                          <w:top w:val="nil"/>
                          <w:left w:val="nil"/>
                          <w:bottom w:val="nil"/>
                          <w:right w:val="nil"/>
                          <w:between w:val="nil"/>
                        </w:pBdr>
                        <w:spacing w:after="0" w:line="276" w:lineRule="auto"/>
                        <w:ind w:left="360" w:right="433"/>
                        <w:rPr>
                          <w:color w:val="000000"/>
                          <w:sz w:val="22"/>
                          <w:szCs w:val="22"/>
                        </w:rPr>
                      </w:pPr>
                    </w:p>
                    <w:p w:rsidR="00430B8E" w:rsidRDefault="00430B8E" w:rsidP="00463E18">
                      <w:pPr>
                        <w:pBdr>
                          <w:top w:val="nil"/>
                          <w:left w:val="nil"/>
                          <w:bottom w:val="nil"/>
                          <w:right w:val="nil"/>
                          <w:between w:val="nil"/>
                        </w:pBdr>
                        <w:spacing w:after="0" w:line="276" w:lineRule="auto"/>
                        <w:ind w:left="360" w:right="433"/>
                        <w:rPr>
                          <w:color w:val="000000"/>
                          <w:sz w:val="22"/>
                          <w:szCs w:val="22"/>
                        </w:rPr>
                      </w:pPr>
                      <w:r w:rsidRPr="002979FC">
                        <w:rPr>
                          <w:b/>
                          <w:color w:val="000000"/>
                          <w:sz w:val="22"/>
                          <w:szCs w:val="22"/>
                        </w:rPr>
                        <w:t>Assess Groundwater Connection to Surface Waters</w:t>
                      </w:r>
                      <w:r>
                        <w:rPr>
                          <w:b/>
                          <w:color w:val="000000"/>
                          <w:sz w:val="22"/>
                          <w:szCs w:val="22"/>
                        </w:rPr>
                        <w:t>:</w:t>
                      </w:r>
                      <w:r w:rsidRPr="002979FC">
                        <w:rPr>
                          <w:color w:val="000000"/>
                          <w:sz w:val="22"/>
                          <w:szCs w:val="22"/>
                        </w:rPr>
                        <w:t xml:space="preserve"> </w:t>
                      </w:r>
                      <w:r>
                        <w:rPr>
                          <w:color w:val="000000"/>
                          <w:sz w:val="22"/>
                          <w:szCs w:val="22"/>
                        </w:rPr>
                        <w:t xml:space="preserve">Evaluate the </w:t>
                      </w:r>
                      <w:r w:rsidRPr="002979FC">
                        <w:rPr>
                          <w:color w:val="000000"/>
                          <w:sz w:val="22"/>
                          <w:szCs w:val="22"/>
                        </w:rPr>
                        <w:t xml:space="preserve">relationship </w:t>
                      </w:r>
                      <w:r>
                        <w:rPr>
                          <w:color w:val="000000"/>
                          <w:sz w:val="22"/>
                          <w:szCs w:val="22"/>
                        </w:rPr>
                        <w:t xml:space="preserve">of </w:t>
                      </w:r>
                      <w:r w:rsidRPr="002979FC">
                        <w:rPr>
                          <w:color w:val="000000"/>
                          <w:sz w:val="22"/>
                          <w:szCs w:val="22"/>
                        </w:rPr>
                        <w:t xml:space="preserve">surface water sources </w:t>
                      </w:r>
                      <w:r>
                        <w:rPr>
                          <w:color w:val="000000"/>
                          <w:sz w:val="22"/>
                          <w:szCs w:val="22"/>
                        </w:rPr>
                        <w:t xml:space="preserve">and </w:t>
                      </w:r>
                      <w:r w:rsidRPr="002979FC">
                        <w:rPr>
                          <w:color w:val="000000"/>
                          <w:sz w:val="22"/>
                          <w:szCs w:val="22"/>
                        </w:rPr>
                        <w:t xml:space="preserve">groundwater levels and quality in basins and identify the impacts, if any, on surface water sources </w:t>
                      </w:r>
                      <w:r>
                        <w:rPr>
                          <w:color w:val="000000"/>
                          <w:sz w:val="22"/>
                          <w:szCs w:val="22"/>
                        </w:rPr>
                        <w:t>and its related public benefits.</w:t>
                      </w:r>
                    </w:p>
                    <w:p w:rsidR="00430B8E" w:rsidRPr="002979FC" w:rsidRDefault="00430B8E" w:rsidP="00463E18">
                      <w:pPr>
                        <w:pBdr>
                          <w:top w:val="nil"/>
                          <w:left w:val="nil"/>
                          <w:bottom w:val="nil"/>
                          <w:right w:val="nil"/>
                          <w:between w:val="nil"/>
                        </w:pBdr>
                        <w:spacing w:after="0" w:line="276" w:lineRule="auto"/>
                        <w:ind w:left="360" w:right="433"/>
                        <w:rPr>
                          <w:color w:val="000000"/>
                          <w:sz w:val="22"/>
                          <w:szCs w:val="22"/>
                        </w:rPr>
                      </w:pPr>
                    </w:p>
                    <w:p w:rsidR="00430B8E" w:rsidRPr="002979FC" w:rsidRDefault="00430B8E" w:rsidP="00463E18">
                      <w:pPr>
                        <w:pBdr>
                          <w:top w:val="nil"/>
                          <w:left w:val="nil"/>
                          <w:bottom w:val="nil"/>
                          <w:right w:val="nil"/>
                          <w:between w:val="nil"/>
                        </w:pBdr>
                        <w:spacing w:after="0" w:line="276" w:lineRule="auto"/>
                        <w:ind w:left="360" w:right="433"/>
                        <w:rPr>
                          <w:color w:val="000000"/>
                          <w:sz w:val="22"/>
                          <w:szCs w:val="22"/>
                        </w:rPr>
                      </w:pPr>
                      <w:r w:rsidRPr="002979FC">
                        <w:rPr>
                          <w:b/>
                          <w:color w:val="000000"/>
                          <w:sz w:val="22"/>
                          <w:szCs w:val="22"/>
                        </w:rPr>
                        <w:t>Provide State Financial and Technical Assistance.</w:t>
                      </w:r>
                      <w:r w:rsidRPr="002979FC">
                        <w:rPr>
                          <w:color w:val="000000"/>
                          <w:sz w:val="22"/>
                          <w:szCs w:val="22"/>
                        </w:rPr>
                        <w:t xml:space="preserve"> </w:t>
                      </w:r>
                      <w:r>
                        <w:rPr>
                          <w:color w:val="000000"/>
                          <w:sz w:val="22"/>
                          <w:szCs w:val="22"/>
                        </w:rPr>
                        <w:t>Encourage t</w:t>
                      </w:r>
                      <w:r w:rsidRPr="002979FC">
                        <w:rPr>
                          <w:color w:val="000000"/>
                          <w:sz w:val="22"/>
                          <w:szCs w:val="22"/>
                        </w:rPr>
                        <w:t xml:space="preserve">he state, through DWR, </w:t>
                      </w:r>
                      <w:r>
                        <w:rPr>
                          <w:color w:val="000000"/>
                          <w:sz w:val="22"/>
                          <w:szCs w:val="22"/>
                        </w:rPr>
                        <w:t xml:space="preserve">to </w:t>
                      </w:r>
                      <w:r w:rsidRPr="002979FC">
                        <w:rPr>
                          <w:color w:val="000000"/>
                          <w:sz w:val="22"/>
                          <w:szCs w:val="22"/>
                        </w:rPr>
                        <w:t>continue to provide significant new financial assistance and technical support to local and regional agencies for improving or developing GSPs</w:t>
                      </w:r>
                      <w:r>
                        <w:rPr>
                          <w:color w:val="000000"/>
                          <w:sz w:val="22"/>
                          <w:szCs w:val="22"/>
                        </w:rPr>
                        <w:t xml:space="preserve"> and implementing replenishment projects</w:t>
                      </w:r>
                      <w:r w:rsidRPr="002979FC">
                        <w:rPr>
                          <w:color w:val="000000"/>
                          <w:sz w:val="22"/>
                          <w:szCs w:val="22"/>
                        </w:rPr>
                        <w:t>. Developing management capacity in currently critically overdrafted basins should be the first priority.</w:t>
                      </w:r>
                    </w:p>
                    <w:p w:rsidR="00430B8E" w:rsidRDefault="00430B8E"/>
                  </w:txbxContent>
                </v:textbox>
              </v:shape>
            </w:pict>
          </mc:Fallback>
        </mc:AlternateContent>
      </w:r>
      <w:r w:rsidR="00750B95" w:rsidRPr="002979FC">
        <w:rPr>
          <w:sz w:val="22"/>
          <w:szCs w:val="22"/>
        </w:rPr>
        <w:t xml:space="preserve">The following policy </w:t>
      </w:r>
      <w:r w:rsidR="00754A5E">
        <w:rPr>
          <w:sz w:val="22"/>
          <w:szCs w:val="22"/>
        </w:rPr>
        <w:t xml:space="preserve">context is derived from ACWA’s </w:t>
      </w:r>
      <w:hyperlink r:id="rId26" w:history="1">
        <w:r w:rsidR="00754A5E" w:rsidRPr="00EB0050">
          <w:rPr>
            <w:rStyle w:val="Hyperlink"/>
            <w:sz w:val="22"/>
            <w:szCs w:val="22"/>
          </w:rPr>
          <w:t>“Recommendations for Achieving Groundwater Sustainability” (April 2014)</w:t>
        </w:r>
      </w:hyperlink>
      <w:r w:rsidR="00754A5E">
        <w:rPr>
          <w:rStyle w:val="Hyperlink"/>
          <w:sz w:val="22"/>
          <w:szCs w:val="22"/>
        </w:rPr>
        <w:t xml:space="preserve"> Report</w:t>
      </w:r>
      <w:r w:rsidR="00754A5E">
        <w:rPr>
          <w:sz w:val="22"/>
          <w:szCs w:val="22"/>
        </w:rPr>
        <w:t xml:space="preserve">. These fundamental </w:t>
      </w:r>
      <w:r w:rsidR="00820EBA">
        <w:rPr>
          <w:sz w:val="22"/>
          <w:szCs w:val="22"/>
        </w:rPr>
        <w:t>components to groundwater management</w:t>
      </w:r>
      <w:r w:rsidR="00754A5E">
        <w:rPr>
          <w:sz w:val="22"/>
          <w:szCs w:val="22"/>
        </w:rPr>
        <w:t xml:space="preserve"> </w:t>
      </w:r>
      <w:r w:rsidR="00750B95" w:rsidRPr="002979FC">
        <w:rPr>
          <w:sz w:val="22"/>
          <w:szCs w:val="22"/>
        </w:rPr>
        <w:t>must be advanced</w:t>
      </w:r>
      <w:r>
        <w:rPr>
          <w:sz w:val="22"/>
          <w:szCs w:val="22"/>
        </w:rPr>
        <w:t xml:space="preserve"> by local GSAs statewide</w:t>
      </w:r>
      <w:r w:rsidR="00750B95" w:rsidRPr="002979FC">
        <w:rPr>
          <w:sz w:val="22"/>
          <w:szCs w:val="22"/>
        </w:rPr>
        <w:t xml:space="preserve"> to ensure an increase in groundwater replenishment and achieve groundwater sustainability throughout California. </w:t>
      </w:r>
    </w:p>
    <w:p w:rsidR="007F09C3" w:rsidRDefault="002B2541" w:rsidP="001538D2">
      <w:pPr>
        <w:pStyle w:val="Heading1"/>
        <w:spacing w:before="0" w:after="120"/>
      </w:pPr>
      <w:r>
        <w:lastRenderedPageBreak/>
        <w:t xml:space="preserve">Groundwater: A </w:t>
      </w:r>
      <w:r w:rsidR="00750B95">
        <w:t>Current Landscape</w:t>
      </w:r>
    </w:p>
    <w:p w:rsidR="00522E9B" w:rsidRPr="008F4D20" w:rsidRDefault="001538D2" w:rsidP="008F4D20">
      <w:pPr>
        <w:pStyle w:val="Heading1"/>
        <w:spacing w:before="120" w:after="0" w:line="276" w:lineRule="auto"/>
        <w:rPr>
          <w:b w:val="0"/>
          <w:color w:val="auto"/>
          <w:sz w:val="21"/>
          <w:szCs w:val="21"/>
        </w:rPr>
      </w:pPr>
      <w:r w:rsidRPr="002979FC">
        <w:rPr>
          <w:noProof/>
          <w:sz w:val="44"/>
          <w:szCs w:val="44"/>
        </w:rPr>
        <w:drawing>
          <wp:anchor distT="0" distB="0" distL="114300" distR="114300" simplePos="0" relativeHeight="251670528" behindDoc="0" locked="0" layoutInCell="1" allowOverlap="1">
            <wp:simplePos x="0" y="0"/>
            <wp:positionH relativeFrom="column">
              <wp:posOffset>2612390</wp:posOffset>
            </wp:positionH>
            <wp:positionV relativeFrom="paragraph">
              <wp:posOffset>29020</wp:posOffset>
            </wp:positionV>
            <wp:extent cx="3564255" cy="41084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_3_19_Basin Prioritzation.PNG"/>
                    <pic:cNvPicPr/>
                  </pic:nvPicPr>
                  <pic:blipFill>
                    <a:blip r:embed="rId27">
                      <a:extLst>
                        <a:ext uri="{28A0092B-C50C-407E-A947-70E740481C1C}">
                          <a14:useLocalDpi xmlns:a14="http://schemas.microsoft.com/office/drawing/2010/main" val="0"/>
                        </a:ext>
                      </a:extLst>
                    </a:blip>
                    <a:stretch>
                      <a:fillRect/>
                    </a:stretch>
                  </pic:blipFill>
                  <pic:spPr>
                    <a:xfrm>
                      <a:off x="0" y="0"/>
                      <a:ext cx="3564255" cy="4108450"/>
                    </a:xfrm>
                    <a:prstGeom prst="rect">
                      <a:avLst/>
                    </a:prstGeom>
                  </pic:spPr>
                </pic:pic>
              </a:graphicData>
            </a:graphic>
            <wp14:sizeRelH relativeFrom="page">
              <wp14:pctWidth>0</wp14:pctWidth>
            </wp14:sizeRelH>
            <wp14:sizeRelV relativeFrom="page">
              <wp14:pctHeight>0</wp14:pctHeight>
            </wp14:sizeRelV>
          </wp:anchor>
        </w:drawing>
      </w:r>
      <w:r w:rsidR="00210BE0" w:rsidRPr="002979FC">
        <w:rPr>
          <w:b w:val="0"/>
          <w:color w:val="auto"/>
          <w:sz w:val="22"/>
          <w:szCs w:val="22"/>
        </w:rPr>
        <w:t>SGMA requires governments and water agencies of high and medium priority basins to halt overdraft and bring groundwater basins into balanced levels of pumping and recharge. Under SGMA, these basins should reach sustainability within 20 years of implementing their sustainability plans. For critically over-drafted basins, that will be 2040. For the remaining high and medium priority basins, 2042 is the deadline. In his signing statement, former Governor Brown emphasized that “groundwater management in Californi</w:t>
      </w:r>
      <w:r w:rsidR="008F4D20" w:rsidRPr="002979FC">
        <w:rPr>
          <w:b w:val="0"/>
          <w:color w:val="auto"/>
          <w:sz w:val="22"/>
          <w:szCs w:val="22"/>
        </w:rPr>
        <w:t>a is best accomplished locally.” Currently,</w:t>
      </w:r>
      <w:r w:rsidR="00522E9B" w:rsidRPr="002979FC">
        <w:rPr>
          <w:b w:val="0"/>
          <w:color w:val="auto"/>
          <w:sz w:val="22"/>
          <w:szCs w:val="22"/>
        </w:rPr>
        <w:t xml:space="preserve"> local GSAs are preparing their GSP for the first deadlines in 2020 and 2022. The GSPs will contain critical information related to groundwater replenishment opportunities based on groundwater conditions, monitoring </w:t>
      </w:r>
      <w:r w:rsidR="008F4D20" w:rsidRPr="002979FC">
        <w:rPr>
          <w:b w:val="0"/>
          <w:color w:val="auto"/>
          <w:sz w:val="22"/>
          <w:szCs w:val="22"/>
        </w:rPr>
        <w:t>activities, projects and management actions and areas of uncertainty and data gaps.</w:t>
      </w:r>
      <w:r w:rsidR="00522E9B" w:rsidRPr="002979FC">
        <w:rPr>
          <w:b w:val="0"/>
          <w:color w:val="auto"/>
          <w:sz w:val="22"/>
          <w:szCs w:val="22"/>
        </w:rPr>
        <w:t xml:space="preserve"> </w:t>
      </w:r>
    </w:p>
    <w:p w:rsidR="009D2102" w:rsidRDefault="00A22D83" w:rsidP="00DE2BC7">
      <w:pPr>
        <w:spacing w:after="0" w:line="276" w:lineRule="auto"/>
      </w:pPr>
      <w:r w:rsidRPr="002979FC">
        <w:rPr>
          <w:noProof/>
          <w:sz w:val="44"/>
          <w:szCs w:val="44"/>
        </w:rPr>
        <mc:AlternateContent>
          <mc:Choice Requires="wps">
            <w:drawing>
              <wp:anchor distT="0" distB="0" distL="114300" distR="114300" simplePos="0" relativeHeight="251669504" behindDoc="0" locked="0" layoutInCell="1" allowOverlap="1">
                <wp:simplePos x="0" y="0"/>
                <wp:positionH relativeFrom="column">
                  <wp:posOffset>-49189</wp:posOffset>
                </wp:positionH>
                <wp:positionV relativeFrom="paragraph">
                  <wp:posOffset>237756</wp:posOffset>
                </wp:positionV>
                <wp:extent cx="6055995" cy="2992120"/>
                <wp:effectExtent l="19050" t="19050" r="20955" b="17780"/>
                <wp:wrapSquare wrapText="bothSides"/>
                <wp:docPr id="12" name="Text Box 12"/>
                <wp:cNvGraphicFramePr/>
                <a:graphic xmlns:a="http://schemas.openxmlformats.org/drawingml/2006/main">
                  <a:graphicData uri="http://schemas.microsoft.com/office/word/2010/wordprocessingShape">
                    <wps:wsp>
                      <wps:cNvSpPr txBox="1"/>
                      <wps:spPr>
                        <a:xfrm>
                          <a:off x="0" y="0"/>
                          <a:ext cx="6055995" cy="2992120"/>
                        </a:xfrm>
                        <a:prstGeom prst="rect">
                          <a:avLst/>
                        </a:prstGeom>
                        <a:solidFill>
                          <a:schemeClr val="lt1"/>
                        </a:solidFill>
                        <a:ln w="28575">
                          <a:solidFill>
                            <a:schemeClr val="accent5">
                              <a:lumMod val="75000"/>
                            </a:schemeClr>
                          </a:solidFill>
                        </a:ln>
                      </wps:spPr>
                      <wps:txbx>
                        <w:txbxContent>
                          <w:p w:rsidR="00430B8E" w:rsidRPr="00787039" w:rsidRDefault="00430B8E" w:rsidP="001538D2">
                            <w:pPr>
                              <w:spacing w:after="120" w:line="240" w:lineRule="auto"/>
                              <w:ind w:left="144" w:right="144"/>
                              <w:rPr>
                                <w:b/>
                                <w:color w:val="31849B" w:themeColor="accent5" w:themeShade="BF"/>
                                <w:sz w:val="32"/>
                              </w:rPr>
                            </w:pPr>
                            <w:r w:rsidRPr="00787039">
                              <w:rPr>
                                <w:b/>
                                <w:color w:val="31849B" w:themeColor="accent5" w:themeShade="BF"/>
                                <w:sz w:val="32"/>
                              </w:rPr>
                              <w:t>Basin Prioritization</w:t>
                            </w:r>
                          </w:p>
                          <w:p w:rsidR="00430B8E" w:rsidRPr="002979FC" w:rsidRDefault="00430B8E" w:rsidP="00522E9B">
                            <w:pPr>
                              <w:spacing w:before="120" w:after="120" w:line="276" w:lineRule="auto"/>
                              <w:ind w:left="144" w:right="144"/>
                              <w:rPr>
                                <w:sz w:val="20"/>
                                <w:szCs w:val="20"/>
                              </w:rPr>
                            </w:pPr>
                            <w:r w:rsidRPr="002979FC">
                              <w:rPr>
                                <w:sz w:val="20"/>
                                <w:szCs w:val="20"/>
                              </w:rPr>
                              <w:t xml:space="preserve">California’s 515 groundwater basins are classified into one of four categories: high, medium, low or very-low priority based on components identified in the </w:t>
                            </w:r>
                            <w:hyperlink r:id="rId28" w:history="1">
                              <w:r w:rsidRPr="002979FC">
                                <w:rPr>
                                  <w:rStyle w:val="Hyperlink"/>
                                  <w:sz w:val="20"/>
                                  <w:szCs w:val="20"/>
                                </w:rPr>
                                <w:t>California Water Code Section 10933(b)</w:t>
                              </w:r>
                            </w:hyperlink>
                            <w:r w:rsidRPr="002979FC">
                              <w:rPr>
                                <w:sz w:val="20"/>
                                <w:szCs w:val="20"/>
                              </w:rPr>
                              <w:t xml:space="preserve">: </w:t>
                            </w:r>
                          </w:p>
                          <w:p w:rsidR="00430B8E" w:rsidRPr="002979FC" w:rsidRDefault="00430B8E" w:rsidP="00522E9B">
                            <w:pPr>
                              <w:numPr>
                                <w:ilvl w:val="0"/>
                                <w:numId w:val="14"/>
                              </w:numPr>
                              <w:spacing w:after="0" w:line="240" w:lineRule="auto"/>
                              <w:ind w:left="504" w:right="144"/>
                              <w:rPr>
                                <w:sz w:val="20"/>
                                <w:szCs w:val="20"/>
                              </w:rPr>
                            </w:pPr>
                            <w:r w:rsidRPr="002979FC">
                              <w:rPr>
                                <w:sz w:val="20"/>
                                <w:szCs w:val="20"/>
                              </w:rPr>
                              <w:t>Population</w:t>
                            </w:r>
                          </w:p>
                          <w:p w:rsidR="00430B8E" w:rsidRPr="002979FC" w:rsidRDefault="00430B8E" w:rsidP="00522E9B">
                            <w:pPr>
                              <w:numPr>
                                <w:ilvl w:val="0"/>
                                <w:numId w:val="14"/>
                              </w:numPr>
                              <w:spacing w:after="0" w:line="240" w:lineRule="auto"/>
                              <w:ind w:left="504" w:right="144"/>
                              <w:rPr>
                                <w:sz w:val="20"/>
                                <w:szCs w:val="20"/>
                              </w:rPr>
                            </w:pPr>
                            <w:r w:rsidRPr="002979FC">
                              <w:rPr>
                                <w:sz w:val="20"/>
                                <w:szCs w:val="20"/>
                              </w:rPr>
                              <w:t>Rate of population growth</w:t>
                            </w:r>
                          </w:p>
                          <w:p w:rsidR="00430B8E" w:rsidRPr="002979FC" w:rsidRDefault="00430B8E" w:rsidP="00522E9B">
                            <w:pPr>
                              <w:numPr>
                                <w:ilvl w:val="0"/>
                                <w:numId w:val="14"/>
                              </w:numPr>
                              <w:spacing w:after="0" w:line="240" w:lineRule="auto"/>
                              <w:ind w:left="504" w:right="144"/>
                              <w:rPr>
                                <w:sz w:val="20"/>
                                <w:szCs w:val="20"/>
                              </w:rPr>
                            </w:pPr>
                            <w:r w:rsidRPr="002979FC">
                              <w:rPr>
                                <w:sz w:val="20"/>
                                <w:szCs w:val="20"/>
                              </w:rPr>
                              <w:t>Number of public supply wells</w:t>
                            </w:r>
                          </w:p>
                          <w:p w:rsidR="00430B8E" w:rsidRPr="002979FC" w:rsidRDefault="00430B8E" w:rsidP="00522E9B">
                            <w:pPr>
                              <w:numPr>
                                <w:ilvl w:val="0"/>
                                <w:numId w:val="14"/>
                              </w:numPr>
                              <w:spacing w:after="0" w:line="240" w:lineRule="auto"/>
                              <w:ind w:left="504" w:right="144"/>
                              <w:rPr>
                                <w:sz w:val="20"/>
                                <w:szCs w:val="20"/>
                              </w:rPr>
                            </w:pPr>
                            <w:r w:rsidRPr="002979FC">
                              <w:rPr>
                                <w:sz w:val="20"/>
                                <w:szCs w:val="20"/>
                              </w:rPr>
                              <w:t>Total number of wells</w:t>
                            </w:r>
                          </w:p>
                          <w:p w:rsidR="00430B8E" w:rsidRPr="002979FC" w:rsidRDefault="00430B8E" w:rsidP="00522E9B">
                            <w:pPr>
                              <w:numPr>
                                <w:ilvl w:val="0"/>
                                <w:numId w:val="14"/>
                              </w:numPr>
                              <w:spacing w:after="0" w:line="240" w:lineRule="auto"/>
                              <w:ind w:left="504" w:right="144"/>
                              <w:rPr>
                                <w:sz w:val="20"/>
                                <w:szCs w:val="20"/>
                              </w:rPr>
                            </w:pPr>
                            <w:r w:rsidRPr="002979FC">
                              <w:rPr>
                                <w:sz w:val="20"/>
                                <w:szCs w:val="20"/>
                              </w:rPr>
                              <w:t>Total irrigated acreage</w:t>
                            </w:r>
                          </w:p>
                          <w:p w:rsidR="00430B8E" w:rsidRPr="002979FC" w:rsidRDefault="00430B8E" w:rsidP="00522E9B">
                            <w:pPr>
                              <w:numPr>
                                <w:ilvl w:val="0"/>
                                <w:numId w:val="14"/>
                              </w:numPr>
                              <w:spacing w:after="0" w:line="240" w:lineRule="auto"/>
                              <w:ind w:left="504" w:right="144"/>
                              <w:rPr>
                                <w:sz w:val="20"/>
                                <w:szCs w:val="20"/>
                              </w:rPr>
                            </w:pPr>
                            <w:r w:rsidRPr="002979FC">
                              <w:rPr>
                                <w:sz w:val="20"/>
                                <w:szCs w:val="20"/>
                              </w:rPr>
                              <w:t>Degree to which persons overlying the basin rely on groundwater as their primary source of water</w:t>
                            </w:r>
                          </w:p>
                          <w:p w:rsidR="00430B8E" w:rsidRPr="002979FC" w:rsidRDefault="00430B8E" w:rsidP="00522E9B">
                            <w:pPr>
                              <w:numPr>
                                <w:ilvl w:val="0"/>
                                <w:numId w:val="14"/>
                              </w:numPr>
                              <w:spacing w:after="0" w:line="240" w:lineRule="auto"/>
                              <w:ind w:left="504" w:right="144"/>
                              <w:rPr>
                                <w:sz w:val="20"/>
                                <w:szCs w:val="20"/>
                              </w:rPr>
                            </w:pPr>
                            <w:r w:rsidRPr="002979FC">
                              <w:rPr>
                                <w:sz w:val="20"/>
                                <w:szCs w:val="20"/>
                              </w:rPr>
                              <w:t>Documented impacts on the groundwater within the basin, including overdraft, subsidence, saline intrusion, and other water quality degradation</w:t>
                            </w:r>
                          </w:p>
                          <w:p w:rsidR="00430B8E" w:rsidRPr="002979FC" w:rsidRDefault="00430B8E" w:rsidP="00522E9B">
                            <w:pPr>
                              <w:numPr>
                                <w:ilvl w:val="0"/>
                                <w:numId w:val="14"/>
                              </w:numPr>
                              <w:spacing w:after="0" w:line="240" w:lineRule="auto"/>
                              <w:ind w:left="504" w:right="144"/>
                              <w:rPr>
                                <w:sz w:val="20"/>
                                <w:szCs w:val="20"/>
                              </w:rPr>
                            </w:pPr>
                            <w:r w:rsidRPr="002979FC">
                              <w:rPr>
                                <w:sz w:val="20"/>
                                <w:szCs w:val="20"/>
                              </w:rPr>
                              <w:t xml:space="preserve">Any other information determined to be relevant by the department, including adverse impacts on local habitat and local </w:t>
                            </w:r>
                            <w:proofErr w:type="spellStart"/>
                            <w:r w:rsidRPr="002979FC">
                              <w:rPr>
                                <w:sz w:val="20"/>
                                <w:szCs w:val="20"/>
                              </w:rPr>
                              <w:t>streamflows</w:t>
                            </w:r>
                            <w:proofErr w:type="spellEnd"/>
                          </w:p>
                          <w:p w:rsidR="00430B8E" w:rsidRPr="002979FC" w:rsidRDefault="00430B8E" w:rsidP="00522E9B">
                            <w:pPr>
                              <w:spacing w:before="120" w:after="120" w:line="276" w:lineRule="auto"/>
                              <w:ind w:left="144" w:right="144"/>
                              <w:rPr>
                                <w:sz w:val="20"/>
                                <w:szCs w:val="20"/>
                              </w:rPr>
                            </w:pPr>
                            <w:r w:rsidRPr="002979FC">
                              <w:rPr>
                                <w:sz w:val="20"/>
                                <w:szCs w:val="20"/>
                              </w:rPr>
                              <w:t xml:space="preserve">During the prioritization process, the best available datasets and information are applied in a consistent, statewide manner. Basin prioritization is critical in determining which provision under SGMA apply to specific basins. The current basin prioritization map is shown below and can be found on </w:t>
                            </w:r>
                            <w:hyperlink r:id="rId29" w:history="1">
                              <w:r w:rsidRPr="002979FC">
                                <w:rPr>
                                  <w:rStyle w:val="Hyperlink"/>
                                  <w:sz w:val="20"/>
                                  <w:szCs w:val="20"/>
                                </w:rPr>
                                <w:t>DWR’s website</w:t>
                              </w:r>
                            </w:hyperlink>
                            <w:r w:rsidRPr="002979FC">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3.85pt;margin-top:18.7pt;width:476.85pt;height:23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inYgIAANQEAAAOAAAAZHJzL2Uyb0RvYy54bWysVN9P2zAQfp+0/8Hy+0haNbBWpKgDMU1i&#10;gAQTz67j0EiOz7PdJuyv32enKYXtadqLc777fD++u8v5Rd9qtlPON2RKPjnJOVNGUtWY55L/eLz+&#10;9JkzH4SphCajSv6iPL9Yfvxw3tmFmtKGdKUcgxPjF50t+SYEu8gyLzeqFf6ErDIw1uRaEXB1z1nl&#10;RAfvrc6meX6adeQq60gq76G9Gox8mfzXtZLhrq69CkyXHLmFdLp0ruOZLc/F4tkJu2nkPg3xD1m0&#10;ojEIenB1JYJgW9f84aptpCNPdTiR1GZU141UqQZUM8nfVfOwEValWkCOtwea/P9zK2939441FXo3&#10;5cyIFj16VH1gX6hnUIGfzvoFYA8WwNBDD+yo91DGsvvatfGLghjsYPrlwG70JqE8zYtiPi84k7BN&#10;5/PpZJr4z16fW+fDV0Uti0LJHdqXWBW7Gx+QCqAjJEbzpJvqutE6XeLIqEvt2E6g2TqkJPHiDUob&#10;1iH65+KsSJ7fGNPUvboQUioTBpzett+pGlyfFXk+Zn54kpI78obA2kAZ2RtYilLo131iezYyuKbq&#10;BcQ6GkbTW3ndoPgb4cO9cJhFcIn9Cnc4ak1InvYSZxtyv/6mj3iMCKycdZjtkvufW+EUZ/qbwfDM&#10;J7NZXIZ0mRVn6ANzx5b1scVs20sCoxNsspVJjPigR7F21D5hDVcxKkzCSMQueRjFyzBsHNZYqtUq&#10;gTD+VoQb82BldB07GFv72D8JZ/f9DxidWxq3QCzejcGAjS8NrbaB6ibNSOR5YHVPP1YndWe/5nE3&#10;j+8J9fozWv4GAAD//wMAUEsDBBQABgAIAAAAIQCuOpFS4QAAAAkBAAAPAAAAZHJzL2Rvd25yZXYu&#10;eG1sTI/NTsMwEITvSLyDtUjcWgcakjZkUxUEAnGA/vAAbrwkUWI7it029OlZTnAczWjmm3w5mk4c&#10;afCNswg30wgE2dLpxlYIn7vnyRyED8pq1TlLCN/kYVlcXuQq0+5kN3TchkpwifWZQqhD6DMpfVmT&#10;UX7qerLsfbnBqMByqKQe1InLTSdvoyiRRjWWF2rV02NNZbs9GATZlrPwvl6d27fXj5eFezo/ULxD&#10;vL4aV/cgAo3hLwy/+IwOBTPt3cFqLzqESZpyEmGWxiDYX8QJf9sj3EXzBGSRy/8Pih8AAAD//wMA&#10;UEsBAi0AFAAGAAgAAAAhALaDOJL+AAAA4QEAABMAAAAAAAAAAAAAAAAAAAAAAFtDb250ZW50X1R5&#10;cGVzXS54bWxQSwECLQAUAAYACAAAACEAOP0h/9YAAACUAQAACwAAAAAAAAAAAAAAAAAvAQAAX3Jl&#10;bHMvLnJlbHNQSwECLQAUAAYACAAAACEARRAop2ICAADUBAAADgAAAAAAAAAAAAAAAAAuAgAAZHJz&#10;L2Uyb0RvYy54bWxQSwECLQAUAAYACAAAACEArjqRUuEAAAAJAQAADwAAAAAAAAAAAAAAAAC8BAAA&#10;ZHJzL2Rvd25yZXYueG1sUEsFBgAAAAAEAAQA8wAAAMoFAAAAAA==&#10;" fillcolor="white [3201]" strokecolor="#31849b [2408]" strokeweight="2.25pt">
                <v:textbox>
                  <w:txbxContent>
                    <w:p w:rsidR="00430B8E" w:rsidRPr="00787039" w:rsidRDefault="00430B8E" w:rsidP="001538D2">
                      <w:pPr>
                        <w:spacing w:after="120" w:line="240" w:lineRule="auto"/>
                        <w:ind w:left="144" w:right="144"/>
                        <w:rPr>
                          <w:b/>
                          <w:color w:val="31849B" w:themeColor="accent5" w:themeShade="BF"/>
                          <w:sz w:val="32"/>
                        </w:rPr>
                      </w:pPr>
                      <w:r w:rsidRPr="00787039">
                        <w:rPr>
                          <w:b/>
                          <w:color w:val="31849B" w:themeColor="accent5" w:themeShade="BF"/>
                          <w:sz w:val="32"/>
                        </w:rPr>
                        <w:t>Basin Prioritization</w:t>
                      </w:r>
                    </w:p>
                    <w:p w:rsidR="00430B8E" w:rsidRPr="002979FC" w:rsidRDefault="00430B8E" w:rsidP="00522E9B">
                      <w:pPr>
                        <w:spacing w:before="120" w:after="120" w:line="276" w:lineRule="auto"/>
                        <w:ind w:left="144" w:right="144"/>
                        <w:rPr>
                          <w:sz w:val="20"/>
                          <w:szCs w:val="20"/>
                        </w:rPr>
                      </w:pPr>
                      <w:r w:rsidRPr="002979FC">
                        <w:rPr>
                          <w:sz w:val="20"/>
                          <w:szCs w:val="20"/>
                        </w:rPr>
                        <w:t xml:space="preserve">California’s 515 groundwater basins are classified into one of four categories: high, medium, low or very-low priority based on components identified in the </w:t>
                      </w:r>
                      <w:hyperlink r:id="rId30" w:history="1">
                        <w:r w:rsidRPr="002979FC">
                          <w:rPr>
                            <w:rStyle w:val="Hyperlink"/>
                            <w:sz w:val="20"/>
                            <w:szCs w:val="20"/>
                          </w:rPr>
                          <w:t>California Water Code Section 10933(b)</w:t>
                        </w:r>
                      </w:hyperlink>
                      <w:r w:rsidRPr="002979FC">
                        <w:rPr>
                          <w:sz w:val="20"/>
                          <w:szCs w:val="20"/>
                        </w:rPr>
                        <w:t xml:space="preserve">: </w:t>
                      </w:r>
                    </w:p>
                    <w:p w:rsidR="00430B8E" w:rsidRPr="002979FC" w:rsidRDefault="00430B8E" w:rsidP="00522E9B">
                      <w:pPr>
                        <w:numPr>
                          <w:ilvl w:val="0"/>
                          <w:numId w:val="14"/>
                        </w:numPr>
                        <w:spacing w:after="0" w:line="240" w:lineRule="auto"/>
                        <w:ind w:left="504" w:right="144"/>
                        <w:rPr>
                          <w:sz w:val="20"/>
                          <w:szCs w:val="20"/>
                        </w:rPr>
                      </w:pPr>
                      <w:r w:rsidRPr="002979FC">
                        <w:rPr>
                          <w:sz w:val="20"/>
                          <w:szCs w:val="20"/>
                        </w:rPr>
                        <w:t>Population</w:t>
                      </w:r>
                    </w:p>
                    <w:p w:rsidR="00430B8E" w:rsidRPr="002979FC" w:rsidRDefault="00430B8E" w:rsidP="00522E9B">
                      <w:pPr>
                        <w:numPr>
                          <w:ilvl w:val="0"/>
                          <w:numId w:val="14"/>
                        </w:numPr>
                        <w:spacing w:after="0" w:line="240" w:lineRule="auto"/>
                        <w:ind w:left="504" w:right="144"/>
                        <w:rPr>
                          <w:sz w:val="20"/>
                          <w:szCs w:val="20"/>
                        </w:rPr>
                      </w:pPr>
                      <w:r w:rsidRPr="002979FC">
                        <w:rPr>
                          <w:sz w:val="20"/>
                          <w:szCs w:val="20"/>
                        </w:rPr>
                        <w:t>Rate of population growth</w:t>
                      </w:r>
                    </w:p>
                    <w:p w:rsidR="00430B8E" w:rsidRPr="002979FC" w:rsidRDefault="00430B8E" w:rsidP="00522E9B">
                      <w:pPr>
                        <w:numPr>
                          <w:ilvl w:val="0"/>
                          <w:numId w:val="14"/>
                        </w:numPr>
                        <w:spacing w:after="0" w:line="240" w:lineRule="auto"/>
                        <w:ind w:left="504" w:right="144"/>
                        <w:rPr>
                          <w:sz w:val="20"/>
                          <w:szCs w:val="20"/>
                        </w:rPr>
                      </w:pPr>
                      <w:r w:rsidRPr="002979FC">
                        <w:rPr>
                          <w:sz w:val="20"/>
                          <w:szCs w:val="20"/>
                        </w:rPr>
                        <w:t>Number of public supply wells</w:t>
                      </w:r>
                    </w:p>
                    <w:p w:rsidR="00430B8E" w:rsidRPr="002979FC" w:rsidRDefault="00430B8E" w:rsidP="00522E9B">
                      <w:pPr>
                        <w:numPr>
                          <w:ilvl w:val="0"/>
                          <w:numId w:val="14"/>
                        </w:numPr>
                        <w:spacing w:after="0" w:line="240" w:lineRule="auto"/>
                        <w:ind w:left="504" w:right="144"/>
                        <w:rPr>
                          <w:sz w:val="20"/>
                          <w:szCs w:val="20"/>
                        </w:rPr>
                      </w:pPr>
                      <w:r w:rsidRPr="002979FC">
                        <w:rPr>
                          <w:sz w:val="20"/>
                          <w:szCs w:val="20"/>
                        </w:rPr>
                        <w:t>Total number of wells</w:t>
                      </w:r>
                    </w:p>
                    <w:p w:rsidR="00430B8E" w:rsidRPr="002979FC" w:rsidRDefault="00430B8E" w:rsidP="00522E9B">
                      <w:pPr>
                        <w:numPr>
                          <w:ilvl w:val="0"/>
                          <w:numId w:val="14"/>
                        </w:numPr>
                        <w:spacing w:after="0" w:line="240" w:lineRule="auto"/>
                        <w:ind w:left="504" w:right="144"/>
                        <w:rPr>
                          <w:sz w:val="20"/>
                          <w:szCs w:val="20"/>
                        </w:rPr>
                      </w:pPr>
                      <w:r w:rsidRPr="002979FC">
                        <w:rPr>
                          <w:sz w:val="20"/>
                          <w:szCs w:val="20"/>
                        </w:rPr>
                        <w:t>Total irrigated acreage</w:t>
                      </w:r>
                    </w:p>
                    <w:p w:rsidR="00430B8E" w:rsidRPr="002979FC" w:rsidRDefault="00430B8E" w:rsidP="00522E9B">
                      <w:pPr>
                        <w:numPr>
                          <w:ilvl w:val="0"/>
                          <w:numId w:val="14"/>
                        </w:numPr>
                        <w:spacing w:after="0" w:line="240" w:lineRule="auto"/>
                        <w:ind w:left="504" w:right="144"/>
                        <w:rPr>
                          <w:sz w:val="20"/>
                          <w:szCs w:val="20"/>
                        </w:rPr>
                      </w:pPr>
                      <w:r w:rsidRPr="002979FC">
                        <w:rPr>
                          <w:sz w:val="20"/>
                          <w:szCs w:val="20"/>
                        </w:rPr>
                        <w:t>Degree to which persons overlying the basin rely on groundwater as their primary source of water</w:t>
                      </w:r>
                    </w:p>
                    <w:p w:rsidR="00430B8E" w:rsidRPr="002979FC" w:rsidRDefault="00430B8E" w:rsidP="00522E9B">
                      <w:pPr>
                        <w:numPr>
                          <w:ilvl w:val="0"/>
                          <w:numId w:val="14"/>
                        </w:numPr>
                        <w:spacing w:after="0" w:line="240" w:lineRule="auto"/>
                        <w:ind w:left="504" w:right="144"/>
                        <w:rPr>
                          <w:sz w:val="20"/>
                          <w:szCs w:val="20"/>
                        </w:rPr>
                      </w:pPr>
                      <w:r w:rsidRPr="002979FC">
                        <w:rPr>
                          <w:sz w:val="20"/>
                          <w:szCs w:val="20"/>
                        </w:rPr>
                        <w:t>Documented impacts on the groundwater within the basin, including overdraft, subsidence, saline intrusion, and other water quality degradation</w:t>
                      </w:r>
                    </w:p>
                    <w:p w:rsidR="00430B8E" w:rsidRPr="002979FC" w:rsidRDefault="00430B8E" w:rsidP="00522E9B">
                      <w:pPr>
                        <w:numPr>
                          <w:ilvl w:val="0"/>
                          <w:numId w:val="14"/>
                        </w:numPr>
                        <w:spacing w:after="0" w:line="240" w:lineRule="auto"/>
                        <w:ind w:left="504" w:right="144"/>
                        <w:rPr>
                          <w:sz w:val="20"/>
                          <w:szCs w:val="20"/>
                        </w:rPr>
                      </w:pPr>
                      <w:r w:rsidRPr="002979FC">
                        <w:rPr>
                          <w:sz w:val="20"/>
                          <w:szCs w:val="20"/>
                        </w:rPr>
                        <w:t>Any other information determined to be relevant by the department, including adverse impacts on local habitat and local streamflows</w:t>
                      </w:r>
                    </w:p>
                    <w:p w:rsidR="00430B8E" w:rsidRPr="002979FC" w:rsidRDefault="00430B8E" w:rsidP="00522E9B">
                      <w:pPr>
                        <w:spacing w:before="120" w:after="120" w:line="276" w:lineRule="auto"/>
                        <w:ind w:left="144" w:right="144"/>
                        <w:rPr>
                          <w:sz w:val="20"/>
                          <w:szCs w:val="20"/>
                        </w:rPr>
                      </w:pPr>
                      <w:r w:rsidRPr="002979FC">
                        <w:rPr>
                          <w:sz w:val="20"/>
                          <w:szCs w:val="20"/>
                        </w:rPr>
                        <w:t xml:space="preserve">During the prioritization process, the best available datasets and information are applied in a consistent, statewide manner. Basin prioritization is critical in determining which provision under SGMA apply to specific basins. The current basin prioritization map is shown below and can be found on </w:t>
                      </w:r>
                      <w:hyperlink r:id="rId31" w:history="1">
                        <w:r w:rsidRPr="002979FC">
                          <w:rPr>
                            <w:rStyle w:val="Hyperlink"/>
                            <w:sz w:val="20"/>
                            <w:szCs w:val="20"/>
                          </w:rPr>
                          <w:t>DWR’s website</w:t>
                        </w:r>
                      </w:hyperlink>
                      <w:r w:rsidRPr="002979FC">
                        <w:rPr>
                          <w:sz w:val="20"/>
                          <w:szCs w:val="20"/>
                        </w:rPr>
                        <w:t xml:space="preserve">. </w:t>
                      </w:r>
                    </w:p>
                  </w:txbxContent>
                </v:textbox>
                <w10:wrap type="square"/>
              </v:shape>
            </w:pict>
          </mc:Fallback>
        </mc:AlternateContent>
      </w:r>
      <w:r w:rsidR="002979FC">
        <w:br w:type="page"/>
      </w:r>
      <w:r w:rsidR="00B6314E">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3257550</wp:posOffset>
                </wp:positionH>
                <wp:positionV relativeFrom="paragraph">
                  <wp:posOffset>19050</wp:posOffset>
                </wp:positionV>
                <wp:extent cx="2682240" cy="3438525"/>
                <wp:effectExtent l="19050" t="19050" r="22860" b="28575"/>
                <wp:wrapSquare wrapText="bothSides"/>
                <wp:docPr id="15" name="Text Box 15"/>
                <wp:cNvGraphicFramePr/>
                <a:graphic xmlns:a="http://schemas.openxmlformats.org/drawingml/2006/main">
                  <a:graphicData uri="http://schemas.microsoft.com/office/word/2010/wordprocessingShape">
                    <wps:wsp>
                      <wps:cNvSpPr txBox="1"/>
                      <wps:spPr>
                        <a:xfrm>
                          <a:off x="0" y="0"/>
                          <a:ext cx="2682240" cy="3438525"/>
                        </a:xfrm>
                        <a:prstGeom prst="rect">
                          <a:avLst/>
                        </a:prstGeom>
                        <a:solidFill>
                          <a:schemeClr val="lt1"/>
                        </a:solidFill>
                        <a:ln w="28575">
                          <a:solidFill>
                            <a:schemeClr val="accent5">
                              <a:lumMod val="75000"/>
                            </a:schemeClr>
                          </a:solidFill>
                        </a:ln>
                      </wps:spPr>
                      <wps:txbx>
                        <w:txbxContent>
                          <w:p w:rsidR="00430B8E" w:rsidRDefault="00430B8E" w:rsidP="00F9681C">
                            <w:pPr>
                              <w:spacing w:before="120" w:after="120"/>
                              <w:jc w:val="center"/>
                              <w:rPr>
                                <w:b/>
                                <w:color w:val="31849B" w:themeColor="accent5" w:themeShade="BF"/>
                                <w:sz w:val="32"/>
                              </w:rPr>
                            </w:pPr>
                            <w:r>
                              <w:rPr>
                                <w:b/>
                                <w:color w:val="31849B" w:themeColor="accent5" w:themeShade="BF"/>
                                <w:sz w:val="32"/>
                              </w:rPr>
                              <w:t xml:space="preserve">Critically </w:t>
                            </w:r>
                            <w:proofErr w:type="spellStart"/>
                            <w:r>
                              <w:rPr>
                                <w:b/>
                                <w:color w:val="31849B" w:themeColor="accent5" w:themeShade="BF"/>
                                <w:sz w:val="32"/>
                              </w:rPr>
                              <w:t>O</w:t>
                            </w:r>
                            <w:r w:rsidRPr="00B6314E">
                              <w:rPr>
                                <w:b/>
                                <w:color w:val="31849B" w:themeColor="accent5" w:themeShade="BF"/>
                                <w:sz w:val="32"/>
                              </w:rPr>
                              <w:t>verdrafted</w:t>
                            </w:r>
                            <w:proofErr w:type="spellEnd"/>
                            <w:r w:rsidRPr="00B6314E">
                              <w:rPr>
                                <w:b/>
                                <w:color w:val="31849B" w:themeColor="accent5" w:themeShade="BF"/>
                                <w:sz w:val="32"/>
                              </w:rPr>
                              <w:t xml:space="preserve"> Basins</w:t>
                            </w:r>
                          </w:p>
                          <w:p w:rsidR="00430B8E" w:rsidRPr="00F9681C" w:rsidRDefault="00430B8E" w:rsidP="00F9681C">
                            <w:pPr>
                              <w:spacing w:after="0"/>
                              <w:rPr>
                                <w:rFonts w:asciiTheme="majorHAnsi" w:hAnsiTheme="majorHAnsi" w:cstheme="majorHAnsi"/>
                                <w:i/>
                                <w:iCs/>
                                <w:sz w:val="20"/>
                                <w:szCs w:val="20"/>
                              </w:rPr>
                            </w:pPr>
                            <w:r w:rsidRPr="00F9681C">
                              <w:rPr>
                                <w:rFonts w:asciiTheme="majorHAnsi" w:hAnsiTheme="majorHAnsi" w:cstheme="majorHAnsi"/>
                                <w:sz w:val="20"/>
                                <w:szCs w:val="20"/>
                              </w:rPr>
                              <w:t>As defined in California Water Code Section 10735(a)</w:t>
                            </w:r>
                            <w:r>
                              <w:rPr>
                                <w:rFonts w:asciiTheme="majorHAnsi" w:hAnsiTheme="majorHAnsi" w:cstheme="majorHAnsi"/>
                                <w:sz w:val="20"/>
                                <w:szCs w:val="20"/>
                              </w:rPr>
                              <w:t xml:space="preserve"> </w:t>
                            </w:r>
                            <w:r w:rsidRPr="00F9681C">
                              <w:rPr>
                                <w:rFonts w:asciiTheme="majorHAnsi" w:hAnsiTheme="majorHAnsi" w:cstheme="majorHAnsi"/>
                                <w:sz w:val="20"/>
                                <w:szCs w:val="20"/>
                              </w:rPr>
                              <w:t>“Condition of long-term overdraft” means the condition of a groundwater basin where the average annual amount of water extracted for a long-term period, generally 10 years or more, exceeds the long-term average annual supply of water to the basin, plus any temporary surplus. Overdraft during a period of drought is not sufficient to establish a condition of long-term overdraft if extractions and recharge are managed as necessary to ensure that reductions in groundwater levels or storage during a period of drought are offset by increases in groundwater levels or storage during other periods.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256.5pt;margin-top:1.5pt;width:211.2pt;height:27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PYYQIAANQEAAAOAAAAZHJzL2Uyb0RvYy54bWysVE1v2zAMvQ/YfxB0X524SZsFcYqsRYcB&#10;XVugHXpWZDkxIIuapMTufv2e5Hy122nYRaFI+ol8fMzsqms02yrnazIFH54NOFNGUlmbVcF/PN9+&#10;mnDmgzCl0GRUwV+V51fzjx9mrZ2qnNakS+UYQIyftrbg6xDsNMu8XKtG+DOyyiBYkWtEwNWtstKJ&#10;FuiNzvLB4CJryZXWkVTew3vTB/k84VeVkuGhqrwKTBcctYV0unQu45nNZ2K6csKua7krQ/xDFY2o&#10;DR49QN2IINjG1X9ANbV05KkKZ5KajKqqlir1gG6Gg3fdPK2FVakXkOPtgSb//2Dl/fbRsbrE7Mac&#10;GdFgRs+qC+wLdQwu8NNaP0Xak0Vi6OBH7t7v4Yxtd5Vr4i8aYoiD6dcDuxFNwplfTPJ8hJBE7Hx0&#10;PhnnCT87fm6dD18VNSwaBXcYX2JVbO98QClI3afE1zzpuryttU6XKBl1rR3bCgxbh1QkvniTpQ1r&#10;UcpkfDlOyG+CSXVHCCGlMqHP05vmO5U99OV4MEjKieD7V1NxJ2iIaQNnZK9nKVqhW3aJ7QOzSypf&#10;QayjXpreytsazd8JHx6FgxZBGPYrPOCoNKF42lmcrcn9+ps/5kMiiHLWQtsF9z83winO9DcD8Xwe&#10;juIcQrqMxpc5Lu40sjyNmE1zTWB0iE22MpkxP+i9WTlqXrCGi/gqQsJIvF3wsDevQ79xWGOpFouU&#10;BPlbEe7Mk5UROk4wjva5exHO7uYfIJ172m+BmL6TQZ8bvzS02ASq6qSRyHPP6o5+rE6azm7N426e&#10;3lPW8c9o/hsAAP//AwBQSwMEFAAGAAgAAAAhAP3ppyjgAAAACQEAAA8AAABkcnMvZG93bnJldi54&#10;bWxMj8tOwzAQRfdI/QdrKnVHnZIE0RCnKhUIxIJHywe48ZBEicdR7LahX890BavR6IzunJuvRtuJ&#10;Iw6+caRgMY9AIJXONFQp+No9Xd+B8EGT0Z0jVPCDHlbF5CrXmXEn+sTjNlSCQ8hnWkEdQp9J6csa&#10;rfZz1yMx+3aD1YHXoZJm0CcOt528iaJbaXVD/KHWPW5qLNvtwSqQbRmHt4/1uX19eX9eusfzAyY7&#10;pWbTcX0PIuAY/o7hos/qULDT3h3IeNEpSBcxdwkKLoP5Mk4TEHsGSZKCLHL5v0HxCwAA//8DAFBL&#10;AQItABQABgAIAAAAIQC2gziS/gAAAOEBAAATAAAAAAAAAAAAAAAAAAAAAABbQ29udGVudF9UeXBl&#10;c10ueG1sUEsBAi0AFAAGAAgAAAAhADj9If/WAAAAlAEAAAsAAAAAAAAAAAAAAAAALwEAAF9yZWxz&#10;Ly5yZWxzUEsBAi0AFAAGAAgAAAAhAJKCI9hhAgAA1AQAAA4AAAAAAAAAAAAAAAAALgIAAGRycy9l&#10;Mm9Eb2MueG1sUEsBAi0AFAAGAAgAAAAhAP3ppyjgAAAACQEAAA8AAAAAAAAAAAAAAAAAuwQAAGRy&#10;cy9kb3ducmV2LnhtbFBLBQYAAAAABAAEAPMAAADIBQAAAAA=&#10;" fillcolor="white [3201]" strokecolor="#31849b [2408]" strokeweight="2.25pt">
                <v:textbox>
                  <w:txbxContent>
                    <w:p w:rsidR="00430B8E" w:rsidRDefault="00430B8E" w:rsidP="00F9681C">
                      <w:pPr>
                        <w:spacing w:before="120" w:after="120"/>
                        <w:jc w:val="center"/>
                        <w:rPr>
                          <w:b/>
                          <w:color w:val="31849B" w:themeColor="accent5" w:themeShade="BF"/>
                          <w:sz w:val="32"/>
                        </w:rPr>
                      </w:pPr>
                      <w:r>
                        <w:rPr>
                          <w:b/>
                          <w:color w:val="31849B" w:themeColor="accent5" w:themeShade="BF"/>
                          <w:sz w:val="32"/>
                        </w:rPr>
                        <w:t>Critically O</w:t>
                      </w:r>
                      <w:r w:rsidRPr="00B6314E">
                        <w:rPr>
                          <w:b/>
                          <w:color w:val="31849B" w:themeColor="accent5" w:themeShade="BF"/>
                          <w:sz w:val="32"/>
                        </w:rPr>
                        <w:t>verdrafted Basins</w:t>
                      </w:r>
                    </w:p>
                    <w:p w:rsidR="00430B8E" w:rsidRPr="00F9681C" w:rsidRDefault="00430B8E" w:rsidP="00F9681C">
                      <w:pPr>
                        <w:spacing w:after="0"/>
                        <w:rPr>
                          <w:rFonts w:asciiTheme="majorHAnsi" w:hAnsiTheme="majorHAnsi" w:cstheme="majorHAnsi"/>
                          <w:i/>
                          <w:iCs/>
                          <w:sz w:val="20"/>
                          <w:szCs w:val="20"/>
                        </w:rPr>
                      </w:pPr>
                      <w:r w:rsidRPr="00F9681C">
                        <w:rPr>
                          <w:rFonts w:asciiTheme="majorHAnsi" w:hAnsiTheme="majorHAnsi" w:cstheme="majorHAnsi"/>
                          <w:sz w:val="20"/>
                          <w:szCs w:val="20"/>
                        </w:rPr>
                        <w:t>As defined in California Water Code Section 10735(a)</w:t>
                      </w:r>
                      <w:r>
                        <w:rPr>
                          <w:rFonts w:asciiTheme="majorHAnsi" w:hAnsiTheme="majorHAnsi" w:cstheme="majorHAnsi"/>
                          <w:sz w:val="20"/>
                          <w:szCs w:val="20"/>
                        </w:rPr>
                        <w:t xml:space="preserve"> </w:t>
                      </w:r>
                      <w:r w:rsidRPr="00F9681C">
                        <w:rPr>
                          <w:rFonts w:asciiTheme="majorHAnsi" w:hAnsiTheme="majorHAnsi" w:cstheme="majorHAnsi"/>
                          <w:sz w:val="20"/>
                          <w:szCs w:val="20"/>
                        </w:rPr>
                        <w:t>“Condition of long-term overdraft” means the condition of a groundwater basin where the average annual amount of water extracted for a long-term period, generally 10 years or more, exceeds the long-term average annual supply of water to the basin, plus any temporary surplus. Overdraft during a period of drought is not sufficient to establish a condition of long-term overdraft if extractions and recharge are managed as necessary to ensure that reductions in groundwater levels or storage during a period of drought are offset by increases in groundwater levels or storage during other periods.</w:t>
                      </w:r>
                    </w:p>
                  </w:txbxContent>
                </v:textbox>
                <w10:wrap type="square"/>
              </v:shape>
            </w:pict>
          </mc:Fallback>
        </mc:AlternateContent>
      </w:r>
      <w:r w:rsidR="00F9681C">
        <w:t xml:space="preserve">As reported in several recent Public Policy Institute of California (PPIC)’s studies, </w:t>
      </w:r>
      <w:r w:rsidR="009D2102">
        <w:t xml:space="preserve">the San Joaquin Valley is “ground zero” for implementing SGMA, where since the mid-1980’s the valley’s average annual overdraft is nearly 2 million-acre-feet per year (or 13% of net water use). </w:t>
      </w:r>
    </w:p>
    <w:p w:rsidR="009D2102" w:rsidRDefault="009D2102" w:rsidP="009D2102">
      <w:pPr>
        <w:spacing w:after="0" w:line="240" w:lineRule="auto"/>
      </w:pPr>
    </w:p>
    <w:p w:rsidR="007F09C3" w:rsidRDefault="009D2102" w:rsidP="00DE2BC7">
      <w:pPr>
        <w:spacing w:after="0" w:line="276" w:lineRule="auto"/>
      </w:pPr>
      <w:r>
        <w:t>However, i</w:t>
      </w:r>
      <w:r w:rsidR="00750B95">
        <w:t>n many areas</w:t>
      </w:r>
      <w:r w:rsidR="00F9681C">
        <w:t xml:space="preserve"> of California</w:t>
      </w:r>
      <w:r>
        <w:t>,</w:t>
      </w:r>
      <w:r w:rsidR="00750B95">
        <w:t xml:space="preserve"> overdraft has been and continues to be exacerbated by a significant reduction in available surface water supplies over the past two decades. </w:t>
      </w:r>
      <w:r>
        <w:t>As PPIC notes, t</w:t>
      </w:r>
      <w:r w:rsidR="00750B95">
        <w:t>he inability of the State Water Project and the federal Central Valley Project to reliably deliver contracted water supplies has eliminated a substantial amount of surface water that once played a key role in recharging groundwater basins. In many cases, demand for groundwater is directly related to the reliability and availability of surface water supplies. The loss of reliable surface water supplies means that past investments in local and regional water systems – and the agricultural, urban and environmental water uses long supported by conjunctive management of surface water and groundwater resources – are now at risk.</w:t>
      </w:r>
    </w:p>
    <w:p w:rsidR="009D2102" w:rsidRDefault="009D2102" w:rsidP="009D2102">
      <w:pPr>
        <w:spacing w:after="0" w:line="240" w:lineRule="auto"/>
      </w:pPr>
    </w:p>
    <w:p w:rsidR="007F09C3" w:rsidRDefault="007F09C3">
      <w:pPr>
        <w:spacing w:after="0" w:line="240" w:lineRule="auto"/>
      </w:pPr>
    </w:p>
    <w:p w:rsidR="007F09C3" w:rsidRDefault="00750B95" w:rsidP="00103245">
      <w:pPr>
        <w:spacing w:after="0" w:line="240" w:lineRule="auto"/>
        <w:jc w:val="center"/>
        <w:rPr>
          <w:highlight w:val="yellow"/>
        </w:rPr>
      </w:pPr>
      <w:r>
        <w:rPr>
          <w:noProof/>
        </w:rPr>
        <w:drawing>
          <wp:inline distT="0" distB="0" distL="0" distR="0">
            <wp:extent cx="5943600" cy="224536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943600" cy="2245360"/>
                    </a:xfrm>
                    <a:prstGeom prst="rect">
                      <a:avLst/>
                    </a:prstGeom>
                    <a:ln/>
                  </pic:spPr>
                </pic:pic>
              </a:graphicData>
            </a:graphic>
          </wp:inline>
        </w:drawing>
      </w:r>
    </w:p>
    <w:p w:rsidR="007F09C3" w:rsidRDefault="00750B95" w:rsidP="00103245">
      <w:pPr>
        <w:spacing w:after="0" w:line="240" w:lineRule="auto"/>
        <w:jc w:val="center"/>
        <w:rPr>
          <w:i/>
          <w:iCs/>
          <w:sz w:val="20"/>
          <w:szCs w:val="20"/>
        </w:rPr>
      </w:pPr>
      <w:r w:rsidRPr="009D2102">
        <w:rPr>
          <w:i/>
          <w:iCs/>
          <w:sz w:val="20"/>
          <w:szCs w:val="20"/>
        </w:rPr>
        <w:t>PPIC Report – Note: “Dry years” are those classified as dry or critically dry for the San Joaquin Valley.</w:t>
      </w:r>
    </w:p>
    <w:p w:rsidR="009D2102" w:rsidRDefault="009D2102" w:rsidP="00103245">
      <w:pPr>
        <w:spacing w:after="0" w:line="240" w:lineRule="auto"/>
        <w:jc w:val="center"/>
        <w:rPr>
          <w:i/>
          <w:iCs/>
          <w:sz w:val="20"/>
          <w:szCs w:val="20"/>
        </w:rPr>
      </w:pPr>
    </w:p>
    <w:p w:rsidR="009D2102" w:rsidRPr="009D2102" w:rsidRDefault="002B2541" w:rsidP="00103245">
      <w:pPr>
        <w:spacing w:after="0" w:line="240" w:lineRule="auto"/>
        <w:jc w:val="center"/>
        <w:rPr>
          <w:i/>
          <w:iCs/>
          <w:sz w:val="20"/>
          <w:szCs w:val="20"/>
        </w:rPr>
      </w:pPr>
      <w:r>
        <w:rPr>
          <w:noProof/>
        </w:rPr>
        <mc:AlternateContent>
          <mc:Choice Requires="wps">
            <w:drawing>
              <wp:anchor distT="0" distB="0" distL="114300" distR="114300" simplePos="0" relativeHeight="251674624" behindDoc="0" locked="0" layoutInCell="1" allowOverlap="1" wp14:anchorId="0DA607C5" wp14:editId="3584C94A">
                <wp:simplePos x="0" y="0"/>
                <wp:positionH relativeFrom="column">
                  <wp:posOffset>457200</wp:posOffset>
                </wp:positionH>
                <wp:positionV relativeFrom="paragraph">
                  <wp:posOffset>22860</wp:posOffset>
                </wp:positionV>
                <wp:extent cx="4690745" cy="885825"/>
                <wp:effectExtent l="19050" t="19050" r="14605" b="28575"/>
                <wp:wrapSquare wrapText="bothSides"/>
                <wp:docPr id="16" name="Text Box 16"/>
                <wp:cNvGraphicFramePr/>
                <a:graphic xmlns:a="http://schemas.openxmlformats.org/drawingml/2006/main">
                  <a:graphicData uri="http://schemas.microsoft.com/office/word/2010/wordprocessingShape">
                    <wps:wsp>
                      <wps:cNvSpPr txBox="1"/>
                      <wps:spPr>
                        <a:xfrm>
                          <a:off x="0" y="0"/>
                          <a:ext cx="4690745" cy="885825"/>
                        </a:xfrm>
                        <a:prstGeom prst="rect">
                          <a:avLst/>
                        </a:prstGeom>
                        <a:solidFill>
                          <a:schemeClr val="lt1"/>
                        </a:solidFill>
                        <a:ln w="28575">
                          <a:solidFill>
                            <a:schemeClr val="accent5">
                              <a:lumMod val="75000"/>
                            </a:schemeClr>
                          </a:solidFill>
                        </a:ln>
                      </wps:spPr>
                      <wps:txbx>
                        <w:txbxContent>
                          <w:p w:rsidR="00430B8E" w:rsidRPr="009D2102" w:rsidRDefault="00430B8E" w:rsidP="009D2102">
                            <w:pPr>
                              <w:spacing w:after="0"/>
                              <w:rPr>
                                <w:b/>
                                <w:color w:val="31849B" w:themeColor="accent5" w:themeShade="BF"/>
                                <w:sz w:val="28"/>
                                <w:szCs w:val="20"/>
                              </w:rPr>
                            </w:pPr>
                            <w:r w:rsidRPr="009D2102">
                              <w:rPr>
                                <w:b/>
                                <w:color w:val="31849B" w:themeColor="accent5" w:themeShade="BF"/>
                                <w:sz w:val="28"/>
                                <w:szCs w:val="20"/>
                              </w:rPr>
                              <w:t>Recent PPIC Studies related to Groundwater Management</w:t>
                            </w:r>
                          </w:p>
                          <w:p w:rsidR="00430B8E" w:rsidRDefault="00430B8E" w:rsidP="009D2102">
                            <w:pPr>
                              <w:spacing w:after="0"/>
                              <w:rPr>
                                <w:rFonts w:asciiTheme="majorHAnsi" w:hAnsiTheme="majorHAnsi" w:cstheme="majorHAnsi"/>
                                <w:sz w:val="20"/>
                                <w:szCs w:val="20"/>
                              </w:rPr>
                            </w:pPr>
                            <w:r>
                              <w:rPr>
                                <w:rFonts w:asciiTheme="majorHAnsi" w:hAnsiTheme="majorHAnsi" w:cstheme="majorHAnsi"/>
                                <w:sz w:val="20"/>
                                <w:szCs w:val="20"/>
                              </w:rPr>
                              <w:t>“</w:t>
                            </w:r>
                            <w:hyperlink r:id="rId33" w:history="1">
                              <w:r w:rsidRPr="001538D2">
                                <w:rPr>
                                  <w:rStyle w:val="Hyperlink"/>
                                  <w:rFonts w:asciiTheme="majorHAnsi" w:hAnsiTheme="majorHAnsi" w:cstheme="majorHAnsi"/>
                                  <w:sz w:val="20"/>
                                  <w:szCs w:val="20"/>
                                </w:rPr>
                                <w:t>Water and the Future of the San Joaquin Valley</w:t>
                              </w:r>
                            </w:hyperlink>
                            <w:r>
                              <w:rPr>
                                <w:rFonts w:asciiTheme="majorHAnsi" w:hAnsiTheme="majorHAnsi" w:cstheme="majorHAnsi"/>
                                <w:sz w:val="20"/>
                                <w:szCs w:val="20"/>
                              </w:rPr>
                              <w:t xml:space="preserve">” – February 2019 </w:t>
                            </w:r>
                          </w:p>
                          <w:p w:rsidR="00430B8E" w:rsidRDefault="00430B8E" w:rsidP="009D2102">
                            <w:pPr>
                              <w:spacing w:after="0"/>
                              <w:rPr>
                                <w:rFonts w:asciiTheme="majorHAnsi" w:hAnsiTheme="majorHAnsi" w:cstheme="majorHAnsi"/>
                                <w:sz w:val="20"/>
                                <w:szCs w:val="20"/>
                              </w:rPr>
                            </w:pPr>
                            <w:r>
                              <w:rPr>
                                <w:rFonts w:asciiTheme="majorHAnsi" w:hAnsiTheme="majorHAnsi" w:cstheme="majorHAnsi"/>
                                <w:sz w:val="20"/>
                                <w:szCs w:val="20"/>
                              </w:rPr>
                              <w:t>“</w:t>
                            </w:r>
                            <w:hyperlink r:id="rId34" w:history="1">
                              <w:r w:rsidRPr="001538D2">
                                <w:rPr>
                                  <w:rStyle w:val="Hyperlink"/>
                                  <w:rFonts w:asciiTheme="majorHAnsi" w:hAnsiTheme="majorHAnsi" w:cstheme="majorHAnsi"/>
                                  <w:sz w:val="20"/>
                                  <w:szCs w:val="20"/>
                                </w:rPr>
                                <w:t>Managing Drought in a Changing Climate: Four Essential Reforms</w:t>
                              </w:r>
                            </w:hyperlink>
                            <w:r>
                              <w:rPr>
                                <w:rFonts w:asciiTheme="majorHAnsi" w:hAnsiTheme="majorHAnsi" w:cstheme="majorHAnsi"/>
                                <w:sz w:val="20"/>
                                <w:szCs w:val="20"/>
                              </w:rPr>
                              <w:t>” – September 2018</w:t>
                            </w:r>
                          </w:p>
                          <w:p w:rsidR="00430B8E" w:rsidRPr="00F9681C" w:rsidRDefault="00430B8E" w:rsidP="009D2102">
                            <w:pPr>
                              <w:spacing w:after="0"/>
                              <w:rPr>
                                <w:rFonts w:asciiTheme="majorHAnsi" w:hAnsiTheme="majorHAnsi" w:cstheme="majorHAnsi"/>
                                <w:i/>
                                <w:iCs/>
                                <w:sz w:val="20"/>
                                <w:szCs w:val="20"/>
                              </w:rPr>
                            </w:pPr>
                            <w:r>
                              <w:rPr>
                                <w:rFonts w:asciiTheme="majorHAnsi" w:hAnsiTheme="majorHAnsi" w:cstheme="majorHAnsi"/>
                                <w:sz w:val="20"/>
                                <w:szCs w:val="20"/>
                              </w:rPr>
                              <w:t>“</w:t>
                            </w:r>
                            <w:hyperlink r:id="rId35" w:history="1">
                              <w:r w:rsidRPr="001538D2">
                                <w:rPr>
                                  <w:rStyle w:val="Hyperlink"/>
                                  <w:rFonts w:asciiTheme="majorHAnsi" w:hAnsiTheme="majorHAnsi" w:cstheme="majorHAnsi"/>
                                  <w:sz w:val="20"/>
                                  <w:szCs w:val="20"/>
                                </w:rPr>
                                <w:t>Replenishing Groundwater in the San Joaquin Valley</w:t>
                              </w:r>
                            </w:hyperlink>
                            <w:r>
                              <w:rPr>
                                <w:rFonts w:asciiTheme="majorHAnsi" w:hAnsiTheme="majorHAnsi" w:cstheme="majorHAnsi"/>
                                <w:sz w:val="20"/>
                                <w:szCs w:val="20"/>
                              </w:rPr>
                              <w:t>” – April 2018</w:t>
                            </w:r>
                            <w:r w:rsidRPr="00F9681C">
                              <w:rPr>
                                <w:rFonts w:asciiTheme="majorHAnsi" w:hAnsiTheme="majorHAnsi" w:cs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607C5" id="Text Box 16" o:spid="_x0000_s1032" type="#_x0000_t202" style="position:absolute;left:0;text-align:left;margin-left:36pt;margin-top:1.8pt;width:369.35pt;height:6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9YAIAANMEAAAOAAAAZHJzL2Uyb0RvYy54bWysVMGO2jAQvVfqP1i+lwREgEWEFWVFVYnu&#10;rgSrPRvHgUi2x7UNyfbrO3YIsNueql6MPfPy7Hnzhtl9oyQ5Cesq0Dnt91JKhOZQVHqf05ft6suE&#10;EueZLpgELXL6Jhy9n3/+NKvNVAzgALIQliCJdtPa5PTgvZkmieMHoZjrgREakyVYxTwe7T4pLKuR&#10;XclkkKajpAZbGAtcOIfRhzZJ55G/LAX3T2XphCcyp/g2H1cb111Yk/mMTfeWmUPFz89g//AKxSqN&#10;l16oHphn5GirP6hUxS04KH2Pg0qgLCsuYg1YTT/9UM3mwIyItaA4zlxkcv+Plj+eni2pCuzdiBLN&#10;FPZoKxpPvkJDMIT61MZNEbYxCPQNxhHbxR0GQ9lNaVX4xYII5lHpt4u6gY1jcDi6S8fDjBKOuckk&#10;mwyyQJNcvzbW+W8CFAmbnFrsXhSVndbOt9AOEi5zIKtiVUkZD8ExYiktOTHstfTxjUj+DiU1qXM6&#10;mGTjLDK/S0bTXSkY50L7FieP6gcULfU4S9NonEDe3RrruGHDnNQYDOK1IoWdb3ZNFPsi7A6KN9TV&#10;QutMZ/iqwuLXzPlnZtGKKCWOl3/CpZSAj4fzjpID2F9/iwc8OgSzlNRo7Zy6n0dmBSXyu0bv3PWH&#10;wzAL8TDMxgM82NvM7jajj2oJqGgfB9nwuA14L7ttaUG94hQuwq2YYprj3Tn13Xbp24HDKeZisYgg&#10;dL9hfq03hgfq0MHQ2m3zyqw599+jcx6hGwI2/WCDFhu+1LA4eiir6JGgc6vqWX6cnNid85SH0bw9&#10;R9T1v2j+GwAA//8DAFBLAwQUAAYACAAAACEA0WStJuAAAAAIAQAADwAAAGRycy9kb3ducmV2Lnht&#10;bEyPzW7CMBCE70h9B2sr9QZOCAIa4iBatWrFoT/QBzDxkkSJ11FsIOXpuz21x9GMZr7J1oNtxRl7&#10;XztSEE8iEEiFMzWVCr72z+MlCB80Gd06QgXf6GGd34wynRp3oU8870IpuIR8qhVUIXSplL6o0Go/&#10;cR0Se0fXWx1Y9qU0vb5wuW3lNIrm0uqaeKHSHT5WWDS7k1UgmyIJbx+ba7N9fX+5d0/XB5ztlbq7&#10;HTYrEAGH8BeGX3xGh5yZDu5ExotWwWLKV4KCZA6C7WUcLUAcODdLYpB5Jv8fyH8AAAD//wMAUEsB&#10;Ai0AFAAGAAgAAAAhALaDOJL+AAAA4QEAABMAAAAAAAAAAAAAAAAAAAAAAFtDb250ZW50X1R5cGVz&#10;XS54bWxQSwECLQAUAAYACAAAACEAOP0h/9YAAACUAQAACwAAAAAAAAAAAAAAAAAvAQAAX3JlbHMv&#10;LnJlbHNQSwECLQAUAAYACAAAACEAv+Mz/WACAADTBAAADgAAAAAAAAAAAAAAAAAuAgAAZHJzL2Uy&#10;b0RvYy54bWxQSwECLQAUAAYACAAAACEA0WStJuAAAAAIAQAADwAAAAAAAAAAAAAAAAC6BAAAZHJz&#10;L2Rvd25yZXYueG1sUEsFBgAAAAAEAAQA8wAAAMcFAAAAAA==&#10;" fillcolor="white [3201]" strokecolor="#31849b [2408]" strokeweight="2.25pt">
                <v:textbox>
                  <w:txbxContent>
                    <w:p w:rsidR="00430B8E" w:rsidRPr="009D2102" w:rsidRDefault="00430B8E" w:rsidP="009D2102">
                      <w:pPr>
                        <w:spacing w:after="0"/>
                        <w:rPr>
                          <w:b/>
                          <w:color w:val="31849B" w:themeColor="accent5" w:themeShade="BF"/>
                          <w:sz w:val="28"/>
                          <w:szCs w:val="20"/>
                        </w:rPr>
                      </w:pPr>
                      <w:r w:rsidRPr="009D2102">
                        <w:rPr>
                          <w:b/>
                          <w:color w:val="31849B" w:themeColor="accent5" w:themeShade="BF"/>
                          <w:sz w:val="28"/>
                          <w:szCs w:val="20"/>
                        </w:rPr>
                        <w:t>Recent PPIC Studies related to Groundwater Management</w:t>
                      </w:r>
                    </w:p>
                    <w:p w:rsidR="00430B8E" w:rsidRDefault="00430B8E" w:rsidP="009D2102">
                      <w:pPr>
                        <w:spacing w:after="0"/>
                        <w:rPr>
                          <w:rFonts w:asciiTheme="majorHAnsi" w:hAnsiTheme="majorHAnsi" w:cstheme="majorHAnsi"/>
                          <w:sz w:val="20"/>
                          <w:szCs w:val="20"/>
                        </w:rPr>
                      </w:pPr>
                      <w:r>
                        <w:rPr>
                          <w:rFonts w:asciiTheme="majorHAnsi" w:hAnsiTheme="majorHAnsi" w:cstheme="majorHAnsi"/>
                          <w:sz w:val="20"/>
                          <w:szCs w:val="20"/>
                        </w:rPr>
                        <w:t>“</w:t>
                      </w:r>
                      <w:hyperlink r:id="rId36" w:history="1">
                        <w:r w:rsidRPr="001538D2">
                          <w:rPr>
                            <w:rStyle w:val="Hyperlink"/>
                            <w:rFonts w:asciiTheme="majorHAnsi" w:hAnsiTheme="majorHAnsi" w:cstheme="majorHAnsi"/>
                            <w:sz w:val="20"/>
                            <w:szCs w:val="20"/>
                          </w:rPr>
                          <w:t>Water and the Future of the San Joaquin Valley</w:t>
                        </w:r>
                      </w:hyperlink>
                      <w:r>
                        <w:rPr>
                          <w:rFonts w:asciiTheme="majorHAnsi" w:hAnsiTheme="majorHAnsi" w:cstheme="majorHAnsi"/>
                          <w:sz w:val="20"/>
                          <w:szCs w:val="20"/>
                        </w:rPr>
                        <w:t xml:space="preserve">” – February 2019 </w:t>
                      </w:r>
                    </w:p>
                    <w:p w:rsidR="00430B8E" w:rsidRDefault="00430B8E" w:rsidP="009D2102">
                      <w:pPr>
                        <w:spacing w:after="0"/>
                        <w:rPr>
                          <w:rFonts w:asciiTheme="majorHAnsi" w:hAnsiTheme="majorHAnsi" w:cstheme="majorHAnsi"/>
                          <w:sz w:val="20"/>
                          <w:szCs w:val="20"/>
                        </w:rPr>
                      </w:pPr>
                      <w:r>
                        <w:rPr>
                          <w:rFonts w:asciiTheme="majorHAnsi" w:hAnsiTheme="majorHAnsi" w:cstheme="majorHAnsi"/>
                          <w:sz w:val="20"/>
                          <w:szCs w:val="20"/>
                        </w:rPr>
                        <w:t>“</w:t>
                      </w:r>
                      <w:hyperlink r:id="rId37" w:history="1">
                        <w:r w:rsidRPr="001538D2">
                          <w:rPr>
                            <w:rStyle w:val="Hyperlink"/>
                            <w:rFonts w:asciiTheme="majorHAnsi" w:hAnsiTheme="majorHAnsi" w:cstheme="majorHAnsi"/>
                            <w:sz w:val="20"/>
                            <w:szCs w:val="20"/>
                          </w:rPr>
                          <w:t>Managing Drought in a Changing Climate: Four Essential Reforms</w:t>
                        </w:r>
                      </w:hyperlink>
                      <w:r>
                        <w:rPr>
                          <w:rFonts w:asciiTheme="majorHAnsi" w:hAnsiTheme="majorHAnsi" w:cstheme="majorHAnsi"/>
                          <w:sz w:val="20"/>
                          <w:szCs w:val="20"/>
                        </w:rPr>
                        <w:t>” – September 2018</w:t>
                      </w:r>
                    </w:p>
                    <w:p w:rsidR="00430B8E" w:rsidRPr="00F9681C" w:rsidRDefault="00430B8E" w:rsidP="009D2102">
                      <w:pPr>
                        <w:spacing w:after="0"/>
                        <w:rPr>
                          <w:rFonts w:asciiTheme="majorHAnsi" w:hAnsiTheme="majorHAnsi" w:cstheme="majorHAnsi"/>
                          <w:i/>
                          <w:iCs/>
                          <w:sz w:val="20"/>
                          <w:szCs w:val="20"/>
                        </w:rPr>
                      </w:pPr>
                      <w:r>
                        <w:rPr>
                          <w:rFonts w:asciiTheme="majorHAnsi" w:hAnsiTheme="majorHAnsi" w:cstheme="majorHAnsi"/>
                          <w:sz w:val="20"/>
                          <w:szCs w:val="20"/>
                        </w:rPr>
                        <w:t>“</w:t>
                      </w:r>
                      <w:hyperlink r:id="rId38" w:history="1">
                        <w:r w:rsidRPr="001538D2">
                          <w:rPr>
                            <w:rStyle w:val="Hyperlink"/>
                            <w:rFonts w:asciiTheme="majorHAnsi" w:hAnsiTheme="majorHAnsi" w:cstheme="majorHAnsi"/>
                            <w:sz w:val="20"/>
                            <w:szCs w:val="20"/>
                          </w:rPr>
                          <w:t>Replenishing Groundwater in the San Joaquin Valley</w:t>
                        </w:r>
                      </w:hyperlink>
                      <w:r>
                        <w:rPr>
                          <w:rFonts w:asciiTheme="majorHAnsi" w:hAnsiTheme="majorHAnsi" w:cstheme="majorHAnsi"/>
                          <w:sz w:val="20"/>
                          <w:szCs w:val="20"/>
                        </w:rPr>
                        <w:t>” – April 2018</w:t>
                      </w:r>
                      <w:r w:rsidRPr="00F9681C">
                        <w:rPr>
                          <w:rFonts w:asciiTheme="majorHAnsi" w:hAnsiTheme="majorHAnsi" w:cstheme="majorHAnsi"/>
                          <w:sz w:val="20"/>
                          <w:szCs w:val="20"/>
                        </w:rPr>
                        <w:t xml:space="preserve"> </w:t>
                      </w:r>
                    </w:p>
                  </w:txbxContent>
                </v:textbox>
                <w10:wrap type="square"/>
              </v:shape>
            </w:pict>
          </mc:Fallback>
        </mc:AlternateContent>
      </w:r>
    </w:p>
    <w:p w:rsidR="007F09C3" w:rsidRDefault="00750B95">
      <w:pPr>
        <w:spacing w:after="0" w:line="240" w:lineRule="auto"/>
      </w:pPr>
      <w:r>
        <w:t xml:space="preserve"> </w:t>
      </w:r>
    </w:p>
    <w:p w:rsidR="001538D2" w:rsidRPr="00047E0D" w:rsidRDefault="00E536AB" w:rsidP="00DE2BC7">
      <w:pPr>
        <w:spacing w:line="276" w:lineRule="auto"/>
        <w:rPr>
          <w:sz w:val="22"/>
          <w:szCs w:val="22"/>
        </w:rPr>
      </w:pPr>
      <w:r>
        <w:rPr>
          <w:b/>
          <w:color w:val="487B78"/>
          <w:sz w:val="40"/>
          <w:szCs w:val="40"/>
        </w:rPr>
        <w:br w:type="page"/>
      </w:r>
      <w:r w:rsidR="001538D2" w:rsidRPr="00047E0D">
        <w:rPr>
          <w:sz w:val="22"/>
          <w:szCs w:val="22"/>
        </w:rPr>
        <w:lastRenderedPageBreak/>
        <w:t xml:space="preserve">In the 2013 Update of the California Water Plan, a survey was completed by ACWA and DWR and there were 89 active conjunctive management and groundwater recharge programs identified statewide (Note: data reflects active conjunctive management agencies identified by DWR as of July 2012 and may not represent all conjunctive management agencies in California).  </w:t>
      </w:r>
    </w:p>
    <w:p w:rsidR="001538D2" w:rsidRDefault="001538D2" w:rsidP="00DE2BC7">
      <w:pPr>
        <w:spacing w:line="276" w:lineRule="auto"/>
        <w:rPr>
          <w:sz w:val="22"/>
          <w:szCs w:val="22"/>
        </w:rPr>
      </w:pPr>
      <w:r w:rsidRPr="00047E0D">
        <w:rPr>
          <w:sz w:val="22"/>
          <w:szCs w:val="22"/>
        </w:rPr>
        <w:t xml:space="preserve">ACWA recently conducted a survey of local groundwater managers to evaluate measurable progress on conjunctive use and recharge activities. A comparison of the quantified details are outlined in </w:t>
      </w:r>
      <w:r>
        <w:rPr>
          <w:sz w:val="22"/>
          <w:szCs w:val="22"/>
        </w:rPr>
        <w:t>T</w:t>
      </w:r>
      <w:r w:rsidRPr="00047E0D">
        <w:rPr>
          <w:sz w:val="22"/>
          <w:szCs w:val="22"/>
        </w:rPr>
        <w:t>able</w:t>
      </w:r>
      <w:r>
        <w:rPr>
          <w:sz w:val="22"/>
          <w:szCs w:val="22"/>
        </w:rPr>
        <w:t xml:space="preserve"> 1</w:t>
      </w:r>
      <w:r w:rsidRPr="00047E0D">
        <w:rPr>
          <w:sz w:val="22"/>
          <w:szCs w:val="22"/>
        </w:rPr>
        <w:t xml:space="preserve"> below, contrasting survey data from 2013 to 2019.</w:t>
      </w:r>
      <w:r>
        <w:rPr>
          <w:sz w:val="22"/>
          <w:szCs w:val="22"/>
        </w:rPr>
        <w:t xml:space="preserve"> Of significant relevance is the historic passage of SGMA in 2014 between the 2013 and 2019 survey dates. </w:t>
      </w:r>
    </w:p>
    <w:p w:rsidR="002B2541" w:rsidRDefault="002B2541" w:rsidP="00DE2BC7">
      <w:pPr>
        <w:spacing w:line="276" w:lineRule="auto"/>
        <w:rPr>
          <w:sz w:val="22"/>
          <w:szCs w:val="22"/>
        </w:rPr>
      </w:pPr>
    </w:p>
    <w:p w:rsidR="002B2541" w:rsidRDefault="002B2541" w:rsidP="00DE2BC7">
      <w:pPr>
        <w:spacing w:line="276" w:lineRule="auto"/>
        <w:rPr>
          <w:sz w:val="22"/>
          <w:szCs w:val="22"/>
        </w:rPr>
      </w:pPr>
    </w:p>
    <w:p w:rsidR="002B2541" w:rsidRDefault="002B2541" w:rsidP="00DE2BC7">
      <w:pPr>
        <w:spacing w:line="276" w:lineRule="auto"/>
        <w:rPr>
          <w:sz w:val="22"/>
          <w:szCs w:val="22"/>
        </w:rPr>
      </w:pPr>
    </w:p>
    <w:p w:rsidR="001538D2" w:rsidRPr="002B2541" w:rsidRDefault="002B2541" w:rsidP="002B2541">
      <w:pPr>
        <w:spacing w:line="276" w:lineRule="auto"/>
        <w:jc w:val="center"/>
      </w:pPr>
      <w:r w:rsidRPr="002B2541">
        <w:t>[I</w:t>
      </w:r>
      <w:r w:rsidR="001538D2" w:rsidRPr="002B2541">
        <w:t xml:space="preserve">nsert a map </w:t>
      </w:r>
      <w:r w:rsidRPr="002B2541">
        <w:t xml:space="preserve">of </w:t>
      </w:r>
      <w:r w:rsidR="001538D2" w:rsidRPr="002B2541">
        <w:t xml:space="preserve">2019 </w:t>
      </w:r>
      <w:r w:rsidRPr="002B2541">
        <w:t xml:space="preserve">groundwater recharge </w:t>
      </w:r>
      <w:r w:rsidR="001538D2" w:rsidRPr="002B2541">
        <w:t>locations</w:t>
      </w:r>
      <w:r w:rsidRPr="002B2541">
        <w:t xml:space="preserve"> as reported in survey]</w:t>
      </w:r>
    </w:p>
    <w:p w:rsidR="001538D2" w:rsidRDefault="001538D2" w:rsidP="001538D2">
      <w:pPr>
        <w:spacing w:after="0" w:line="240" w:lineRule="auto"/>
      </w:pPr>
    </w:p>
    <w:p w:rsidR="001538D2" w:rsidRDefault="001538D2" w:rsidP="001538D2">
      <w:pPr>
        <w:spacing w:after="0" w:line="240" w:lineRule="auto"/>
      </w:pPr>
    </w:p>
    <w:p w:rsidR="00754A5E" w:rsidRDefault="00754A5E" w:rsidP="00754A5E">
      <w:pPr>
        <w:rPr>
          <w:b/>
          <w:bCs/>
        </w:rPr>
      </w:pPr>
    </w:p>
    <w:p w:rsidR="00754A5E" w:rsidRDefault="00754A5E" w:rsidP="00754A5E">
      <w:pPr>
        <w:rPr>
          <w:b/>
          <w:bCs/>
        </w:rPr>
      </w:pPr>
    </w:p>
    <w:p w:rsidR="00754A5E" w:rsidRDefault="00754A5E" w:rsidP="00754A5E">
      <w:pPr>
        <w:rPr>
          <w:b/>
          <w:bCs/>
        </w:rPr>
      </w:pPr>
    </w:p>
    <w:p w:rsidR="001538D2" w:rsidRPr="002B2541" w:rsidRDefault="002B2541" w:rsidP="00754A5E">
      <w:pPr>
        <w:jc w:val="center"/>
      </w:pPr>
      <w:r>
        <w:t xml:space="preserve">[Insert narrative, tables and bar charts with survey results, comparing the </w:t>
      </w:r>
      <w:r w:rsidR="001538D2" w:rsidRPr="002B2541">
        <w:t xml:space="preserve">2013 </w:t>
      </w:r>
      <w:r>
        <w:t xml:space="preserve">and </w:t>
      </w:r>
      <w:r w:rsidR="001538D2" w:rsidRPr="002B2541">
        <w:t xml:space="preserve">2019 </w:t>
      </w:r>
      <w:r>
        <w:t>c</w:t>
      </w:r>
      <w:r w:rsidR="001538D2" w:rsidRPr="002B2541">
        <w:t xml:space="preserve">onjunctive </w:t>
      </w:r>
      <w:r>
        <w:t>m</w:t>
      </w:r>
      <w:r w:rsidR="001538D2" w:rsidRPr="002B2541">
        <w:t xml:space="preserve">anagement </w:t>
      </w:r>
      <w:r>
        <w:t>activities.]</w:t>
      </w:r>
    </w:p>
    <w:p w:rsidR="00A22D83" w:rsidRDefault="00A22D83" w:rsidP="001538D2">
      <w:pPr>
        <w:spacing w:after="0"/>
        <w:rPr>
          <w:b/>
          <w:color w:val="487B78"/>
          <w:sz w:val="40"/>
          <w:szCs w:val="40"/>
        </w:rPr>
      </w:pPr>
    </w:p>
    <w:p w:rsidR="002B2541" w:rsidRDefault="002B2541">
      <w:pPr>
        <w:rPr>
          <w:b/>
          <w:color w:val="487B78"/>
          <w:sz w:val="40"/>
          <w:szCs w:val="40"/>
        </w:rPr>
      </w:pPr>
      <w:r>
        <w:rPr>
          <w:b/>
          <w:color w:val="487B78"/>
          <w:sz w:val="40"/>
          <w:szCs w:val="40"/>
        </w:rPr>
        <w:br w:type="page"/>
      </w:r>
    </w:p>
    <w:p w:rsidR="007D2C63" w:rsidRDefault="007D2C63" w:rsidP="007D2C63">
      <w:pPr>
        <w:pStyle w:val="Heading1"/>
        <w:spacing w:before="0" w:after="120"/>
      </w:pPr>
      <w:r>
        <w:lastRenderedPageBreak/>
        <w:t xml:space="preserve">ACWA Framework for Groundwater Replenishment </w:t>
      </w:r>
    </w:p>
    <w:p w:rsidR="007D2C63" w:rsidRPr="00636B92" w:rsidRDefault="007D2C63" w:rsidP="007D2C63">
      <w:pPr>
        <w:pBdr>
          <w:top w:val="nil"/>
          <w:left w:val="nil"/>
          <w:bottom w:val="nil"/>
          <w:right w:val="nil"/>
          <w:between w:val="nil"/>
        </w:pBdr>
        <w:spacing w:after="0" w:line="276" w:lineRule="auto"/>
        <w:rPr>
          <w:color w:val="000000"/>
          <w:sz w:val="22"/>
          <w:szCs w:val="22"/>
        </w:rPr>
      </w:pPr>
      <w:r w:rsidRPr="00636B92">
        <w:rPr>
          <w:color w:val="000000"/>
          <w:sz w:val="22"/>
          <w:szCs w:val="22"/>
        </w:rPr>
        <w:t xml:space="preserve">This framework provides the context for the financial, technical, institutional, and administrative aspects that GSAs and local entities should consider when planning and developing groundwater replenishment activities. The following framework suggests a comprehensive approach to the development of groundwater replenishment projects as GSAs develop their GSPs, groundwater management projects, and other groundwater replenishment activities.    </w:t>
      </w:r>
    </w:p>
    <w:p w:rsidR="007D2C63" w:rsidRDefault="007D2C63" w:rsidP="007D2C63">
      <w:pPr>
        <w:pBdr>
          <w:top w:val="nil"/>
          <w:left w:val="nil"/>
          <w:bottom w:val="nil"/>
          <w:right w:val="nil"/>
          <w:between w:val="nil"/>
        </w:pBdr>
        <w:spacing w:after="0" w:line="240" w:lineRule="auto"/>
        <w:rPr>
          <w:color w:val="000000"/>
          <w:sz w:val="24"/>
          <w:szCs w:val="24"/>
        </w:rPr>
      </w:pPr>
    </w:p>
    <w:p w:rsidR="007D2C63" w:rsidRPr="007A11A1" w:rsidRDefault="007D2C63" w:rsidP="007D2C63">
      <w:pPr>
        <w:pBdr>
          <w:top w:val="nil"/>
          <w:left w:val="nil"/>
          <w:bottom w:val="nil"/>
          <w:right w:val="nil"/>
          <w:between w:val="nil"/>
        </w:pBdr>
        <w:spacing w:after="0" w:line="240" w:lineRule="auto"/>
        <w:rPr>
          <w:b/>
          <w:color w:val="31849B" w:themeColor="accent5" w:themeShade="BF"/>
          <w:sz w:val="32"/>
        </w:rPr>
      </w:pPr>
      <w:r w:rsidRPr="007A11A1">
        <w:rPr>
          <w:b/>
          <w:color w:val="31849B" w:themeColor="accent5" w:themeShade="BF"/>
          <w:sz w:val="32"/>
        </w:rPr>
        <w:t>Financial Considerations to Evaluate</w:t>
      </w:r>
    </w:p>
    <w:p w:rsidR="007D2C63" w:rsidRPr="00636B92" w:rsidRDefault="007D2C63" w:rsidP="007D2C63">
      <w:pPr>
        <w:pBdr>
          <w:top w:val="nil"/>
          <w:left w:val="nil"/>
          <w:bottom w:val="nil"/>
          <w:right w:val="nil"/>
          <w:between w:val="nil"/>
        </w:pBdr>
        <w:spacing w:after="0" w:line="276" w:lineRule="auto"/>
        <w:rPr>
          <w:bCs/>
          <w:color w:val="000000"/>
          <w:sz w:val="22"/>
          <w:szCs w:val="22"/>
        </w:rPr>
      </w:pPr>
      <w:r w:rsidRPr="00636B92">
        <w:rPr>
          <w:bCs/>
          <w:color w:val="000000"/>
          <w:sz w:val="22"/>
          <w:szCs w:val="22"/>
        </w:rPr>
        <w:t xml:space="preserve">Cost considerations for the development of new supplies is a critical component in evaluating the viability of any groundwater replenishment project.  Most GSA’s evaluate the cost of a project, for comparison to other potential water supply projects, on a dollar per acre-foot basis ($/AF). The financial aspect of any proposed groundwater replenishment project is evaluated dividing the anticipated water supply benefit of the project by the total capital and annual operating cost of the project divided by the anticipated water supply benefit or yield. </w:t>
      </w:r>
    </w:p>
    <w:p w:rsidR="007D2C63" w:rsidRPr="00636B92" w:rsidRDefault="007D2C63" w:rsidP="007D2C63">
      <w:pPr>
        <w:pBdr>
          <w:top w:val="nil"/>
          <w:left w:val="nil"/>
          <w:bottom w:val="nil"/>
          <w:right w:val="nil"/>
          <w:between w:val="nil"/>
        </w:pBdr>
        <w:spacing w:after="0" w:line="276" w:lineRule="auto"/>
        <w:rPr>
          <w:bCs/>
          <w:color w:val="000000"/>
          <w:sz w:val="22"/>
          <w:szCs w:val="22"/>
        </w:rPr>
      </w:pPr>
    </w:p>
    <w:p w:rsidR="007D2C63" w:rsidRPr="00636B92" w:rsidRDefault="007D2C63" w:rsidP="007D2C63">
      <w:pPr>
        <w:pBdr>
          <w:top w:val="nil"/>
          <w:left w:val="nil"/>
          <w:bottom w:val="nil"/>
          <w:right w:val="nil"/>
          <w:between w:val="nil"/>
        </w:pBdr>
        <w:spacing w:after="0" w:line="276" w:lineRule="auto"/>
        <w:rPr>
          <w:bCs/>
          <w:color w:val="000000"/>
          <w:sz w:val="22"/>
          <w:szCs w:val="22"/>
        </w:rPr>
      </w:pPr>
      <w:r w:rsidRPr="00636B92">
        <w:rPr>
          <w:bCs/>
          <w:color w:val="000000"/>
          <w:sz w:val="22"/>
          <w:szCs w:val="22"/>
        </w:rPr>
        <w:t xml:space="preserve">While capital costs can be developed, the greatest challenge in evaluating the potential cost benefit of the proposed project is the quantification of water supplies available for replenishment. Many of these projects rely upon low cost/high flow water, which can be highly variable. Evaluating and scoping a project’s financials requires a method of evaluation as well as developing metrics. The method for evaluating a potential recharge project includes projecting a projected average yield of water, and the frequency or volume to calculate the dollar per acre-foot cost. The metric evaluation includes comparing different alternatives to the scoped project to determine the scaled price of that investment. </w:t>
      </w:r>
    </w:p>
    <w:p w:rsidR="007D2C63" w:rsidRDefault="007D2C63" w:rsidP="007D2C63">
      <w:pPr>
        <w:pBdr>
          <w:top w:val="nil"/>
          <w:left w:val="nil"/>
          <w:bottom w:val="nil"/>
          <w:right w:val="nil"/>
          <w:between w:val="nil"/>
        </w:pBdr>
        <w:spacing w:after="0" w:line="240" w:lineRule="auto"/>
        <w:rPr>
          <w:color w:val="000000"/>
          <w:sz w:val="24"/>
          <w:szCs w:val="24"/>
        </w:rPr>
      </w:pPr>
    </w:p>
    <w:p w:rsidR="007D2C63" w:rsidRPr="007A11A1" w:rsidRDefault="007D2C63" w:rsidP="007D2C63">
      <w:pPr>
        <w:pBdr>
          <w:top w:val="nil"/>
          <w:left w:val="nil"/>
          <w:bottom w:val="nil"/>
          <w:right w:val="nil"/>
          <w:between w:val="nil"/>
        </w:pBdr>
        <w:spacing w:after="0" w:line="240" w:lineRule="auto"/>
        <w:rPr>
          <w:b/>
          <w:color w:val="31849B" w:themeColor="accent5" w:themeShade="BF"/>
          <w:sz w:val="32"/>
        </w:rPr>
      </w:pPr>
      <w:r w:rsidRPr="000E096B">
        <w:rPr>
          <w:b/>
          <w:color w:val="31849B" w:themeColor="accent5" w:themeShade="BF"/>
          <w:sz w:val="32"/>
        </w:rPr>
        <w:t xml:space="preserve">Technical Considerations to Identify </w:t>
      </w:r>
    </w:p>
    <w:p w:rsidR="007D2C63" w:rsidRPr="00636B92" w:rsidRDefault="007D2C63" w:rsidP="007D2C63">
      <w:pPr>
        <w:pBdr>
          <w:top w:val="nil"/>
          <w:left w:val="nil"/>
          <w:bottom w:val="nil"/>
          <w:right w:val="nil"/>
          <w:between w:val="nil"/>
        </w:pBdr>
        <w:spacing w:after="0" w:line="276" w:lineRule="auto"/>
        <w:rPr>
          <w:sz w:val="22"/>
          <w:szCs w:val="22"/>
        </w:rPr>
      </w:pPr>
      <w:r w:rsidRPr="00636B92">
        <w:rPr>
          <w:color w:val="000000"/>
          <w:sz w:val="22"/>
          <w:szCs w:val="22"/>
        </w:rPr>
        <w:t xml:space="preserve">There are various technical considerations when developing groundwater replenishment activities, including the identification of a water supply source, infrastructure needs and constraints, recharge methods, and appropriate recharge locations. To be able to increase groundwater </w:t>
      </w:r>
      <w:r w:rsidRPr="00636B92">
        <w:rPr>
          <w:sz w:val="22"/>
          <w:szCs w:val="22"/>
        </w:rPr>
        <w:t xml:space="preserve">recharge, a water source is required. Rather, local and state entities should be flexible in managing existing water supply sources with new ways. This could include utilizing </w:t>
      </w:r>
      <w:proofErr w:type="spellStart"/>
      <w:r w:rsidRPr="00636B92">
        <w:rPr>
          <w:sz w:val="22"/>
          <w:szCs w:val="22"/>
        </w:rPr>
        <w:t>stormwater</w:t>
      </w:r>
      <w:proofErr w:type="spellEnd"/>
      <w:r w:rsidRPr="00636B92">
        <w:rPr>
          <w:sz w:val="22"/>
          <w:szCs w:val="22"/>
        </w:rPr>
        <w:t xml:space="preserve"> or recycled water for recharge purposes as innovative approaches to reusing </w:t>
      </w:r>
      <w:proofErr w:type="spellStart"/>
      <w:r w:rsidRPr="00636B92">
        <w:rPr>
          <w:sz w:val="22"/>
          <w:szCs w:val="22"/>
        </w:rPr>
        <w:t>stormwater</w:t>
      </w:r>
      <w:proofErr w:type="spellEnd"/>
      <w:r w:rsidRPr="00636B92">
        <w:rPr>
          <w:sz w:val="22"/>
          <w:szCs w:val="22"/>
        </w:rPr>
        <w:t xml:space="preserve"> runoff or wastewater. Further, when California experiences peak flood years, a process should be established for capturing high or excess flows in riverine systems that would not impact instream flows or beneficial uses and continues to protect downstream water rights holders. Additionally, </w:t>
      </w:r>
      <w:r w:rsidR="003861B7">
        <w:rPr>
          <w:sz w:val="22"/>
          <w:szCs w:val="22"/>
        </w:rPr>
        <w:t xml:space="preserve">local as well as </w:t>
      </w:r>
      <w:r w:rsidRPr="00636B92">
        <w:rPr>
          <w:sz w:val="22"/>
          <w:szCs w:val="22"/>
        </w:rPr>
        <w:t xml:space="preserve">the state and federal water project operations could also be adapted to leverage existing surface water supply sources for purposes of recharging groundwater basins.  Finally, leveraging the asset through partnerships with other water rights holders may provide access to new water. For example, a partnership to bank and reregulate water on behalf of an out of basin or out of region interest may provide access to new water through an unbalanced exchange.  </w:t>
      </w:r>
    </w:p>
    <w:p w:rsidR="007D2C63" w:rsidRPr="00636B92" w:rsidRDefault="007D2C63" w:rsidP="007D2C63">
      <w:pPr>
        <w:pBdr>
          <w:top w:val="nil"/>
          <w:left w:val="nil"/>
          <w:bottom w:val="nil"/>
          <w:right w:val="nil"/>
          <w:between w:val="nil"/>
        </w:pBdr>
        <w:spacing w:after="0" w:line="276" w:lineRule="auto"/>
        <w:rPr>
          <w:sz w:val="22"/>
          <w:szCs w:val="22"/>
        </w:rPr>
      </w:pPr>
    </w:p>
    <w:p w:rsidR="007D2C63" w:rsidRPr="00636B92" w:rsidRDefault="007D2C63" w:rsidP="007D2C63">
      <w:pPr>
        <w:pBdr>
          <w:top w:val="nil"/>
          <w:left w:val="nil"/>
          <w:bottom w:val="nil"/>
          <w:right w:val="nil"/>
          <w:between w:val="nil"/>
        </w:pBdr>
        <w:spacing w:after="0" w:line="276" w:lineRule="auto"/>
        <w:rPr>
          <w:color w:val="000000"/>
          <w:sz w:val="22"/>
          <w:szCs w:val="22"/>
        </w:rPr>
      </w:pPr>
      <w:r w:rsidRPr="00636B92">
        <w:rPr>
          <w:sz w:val="22"/>
          <w:szCs w:val="22"/>
          <w:u w:val="single"/>
        </w:rPr>
        <w:lastRenderedPageBreak/>
        <w:t>Conveyance and Recharge Infrastructure.</w:t>
      </w:r>
      <w:r w:rsidRPr="00636B92">
        <w:rPr>
          <w:sz w:val="22"/>
          <w:szCs w:val="22"/>
        </w:rPr>
        <w:t xml:space="preserve"> Other technical aspects to consider when developing groundwater recharge projects include what infrastructure is needed to capture and convey available water including the maintenance of SWP and CVP infrastructure, as well as locally operated infrastructure, as needed. Such infrastructure could include interties for water trading, injection wells, recharge ponds, and conveyance for capturing high or excess flows from riverine systems. It is also important to consider the appropriate recharge locations when developing recharge activities. This requires an understanding of the physical conditions of the </w:t>
      </w:r>
      <w:r w:rsidRPr="00636B92">
        <w:rPr>
          <w:color w:val="000000"/>
          <w:sz w:val="22"/>
          <w:szCs w:val="22"/>
        </w:rPr>
        <w:t xml:space="preserve">surface and subsurface environment, soils and geology, as well as land acquisition or land use planning decisions and constraints. An emerging strategy for integrating agricultural water use with additional recharge benefits is to use flood-MAR techniques on existing agricultural lands or croplands. </w:t>
      </w:r>
    </w:p>
    <w:p w:rsidR="007D2C63" w:rsidRPr="00636B92" w:rsidRDefault="007D2C63" w:rsidP="007D2C63">
      <w:pPr>
        <w:pBdr>
          <w:top w:val="nil"/>
          <w:left w:val="nil"/>
          <w:bottom w:val="nil"/>
          <w:right w:val="nil"/>
          <w:between w:val="nil"/>
        </w:pBdr>
        <w:spacing w:after="0" w:line="276" w:lineRule="auto"/>
        <w:rPr>
          <w:color w:val="000000"/>
          <w:sz w:val="22"/>
          <w:szCs w:val="22"/>
        </w:rPr>
      </w:pPr>
    </w:p>
    <w:p w:rsidR="007D2C63" w:rsidRPr="00636B92" w:rsidRDefault="007D2C63" w:rsidP="007D2C63">
      <w:pPr>
        <w:pBdr>
          <w:top w:val="nil"/>
          <w:left w:val="nil"/>
          <w:bottom w:val="nil"/>
          <w:right w:val="nil"/>
          <w:between w:val="nil"/>
        </w:pBdr>
        <w:spacing w:after="0" w:line="276" w:lineRule="auto"/>
        <w:rPr>
          <w:sz w:val="22"/>
          <w:szCs w:val="22"/>
        </w:rPr>
      </w:pPr>
      <w:r w:rsidRPr="00636B92">
        <w:rPr>
          <w:sz w:val="22"/>
          <w:szCs w:val="22"/>
          <w:u w:val="single"/>
        </w:rPr>
        <w:t>In-Lieu Recharge.</w:t>
      </w:r>
      <w:r w:rsidRPr="00636B92">
        <w:rPr>
          <w:sz w:val="22"/>
          <w:szCs w:val="22"/>
        </w:rPr>
        <w:t xml:space="preserve"> These technical and infrastructure needs relate to direct recharge practices. However, for groundwater-dependent communities, acquiring additional surface water supply sources could be used to offset the need to use groundwater sources. This is called in-lieu recharge and is another method of allowing recharge to occur naturally overtime by leaving water in a groundwater basin. This type of conjunctive water management planning will be integral in developing solutions to achieve the sustainable yield in groundwater basins.</w:t>
      </w:r>
    </w:p>
    <w:p w:rsidR="007D2C63" w:rsidRDefault="007D2C63" w:rsidP="007D2C63">
      <w:pPr>
        <w:pBdr>
          <w:top w:val="nil"/>
          <w:left w:val="nil"/>
          <w:bottom w:val="nil"/>
          <w:right w:val="nil"/>
          <w:between w:val="nil"/>
        </w:pBdr>
        <w:spacing w:after="0" w:line="240" w:lineRule="auto"/>
        <w:rPr>
          <w:b/>
          <w:color w:val="000000"/>
          <w:sz w:val="24"/>
          <w:szCs w:val="24"/>
        </w:rPr>
      </w:pPr>
    </w:p>
    <w:p w:rsidR="007D2C63" w:rsidRPr="00636B92" w:rsidRDefault="007D2C63" w:rsidP="007D2C63">
      <w:pPr>
        <w:pBdr>
          <w:top w:val="nil"/>
          <w:left w:val="nil"/>
          <w:bottom w:val="nil"/>
          <w:right w:val="nil"/>
          <w:between w:val="nil"/>
        </w:pBdr>
        <w:spacing w:after="0" w:line="276" w:lineRule="auto"/>
        <w:rPr>
          <w:bCs/>
          <w:color w:val="000000"/>
          <w:sz w:val="22"/>
          <w:szCs w:val="22"/>
        </w:rPr>
      </w:pPr>
      <w:r w:rsidRPr="000E096B">
        <w:rPr>
          <w:b/>
          <w:color w:val="31849B" w:themeColor="accent5" w:themeShade="BF"/>
          <w:sz w:val="32"/>
        </w:rPr>
        <w:t>Institutional Considerations to Navigate</w:t>
      </w:r>
      <w:r>
        <w:rPr>
          <w:b/>
          <w:color w:val="000000"/>
          <w:sz w:val="24"/>
          <w:szCs w:val="24"/>
          <w:u w:val="single"/>
        </w:rPr>
        <w:br/>
      </w:r>
      <w:proofErr w:type="gramStart"/>
      <w:r w:rsidRPr="00636B92">
        <w:rPr>
          <w:bCs/>
          <w:color w:val="000000"/>
          <w:sz w:val="22"/>
          <w:szCs w:val="22"/>
        </w:rPr>
        <w:t>To</w:t>
      </w:r>
      <w:proofErr w:type="gramEnd"/>
      <w:r w:rsidRPr="00636B92">
        <w:rPr>
          <w:bCs/>
          <w:color w:val="000000"/>
          <w:sz w:val="22"/>
          <w:szCs w:val="22"/>
        </w:rPr>
        <w:t xml:space="preserve"> be able to employ the technical aspects of groundwater recharge, the ability to navigate institutional considerations is essential. Such institutional considerations include how the water rights system affects recharge activities in a basin and with whom to develop partnerships. </w:t>
      </w:r>
    </w:p>
    <w:p w:rsidR="007D2C63" w:rsidRPr="00636B92" w:rsidRDefault="007D2C63" w:rsidP="007D2C63">
      <w:pPr>
        <w:pBdr>
          <w:top w:val="nil"/>
          <w:left w:val="nil"/>
          <w:bottom w:val="nil"/>
          <w:right w:val="nil"/>
          <w:between w:val="nil"/>
        </w:pBdr>
        <w:spacing w:after="0" w:line="276" w:lineRule="auto"/>
        <w:rPr>
          <w:bCs/>
          <w:color w:val="000000"/>
          <w:sz w:val="22"/>
          <w:szCs w:val="22"/>
        </w:rPr>
      </w:pPr>
    </w:p>
    <w:p w:rsidR="007D2C63" w:rsidRPr="00636B92" w:rsidRDefault="007D2C63" w:rsidP="007D2C63">
      <w:pPr>
        <w:pBdr>
          <w:top w:val="nil"/>
          <w:left w:val="nil"/>
          <w:bottom w:val="nil"/>
          <w:right w:val="nil"/>
          <w:between w:val="nil"/>
        </w:pBdr>
        <w:spacing w:after="0" w:line="276" w:lineRule="auto"/>
        <w:rPr>
          <w:sz w:val="22"/>
          <w:szCs w:val="22"/>
          <w:u w:val="single"/>
        </w:rPr>
      </w:pPr>
      <w:r w:rsidRPr="00636B92">
        <w:rPr>
          <w:sz w:val="22"/>
          <w:szCs w:val="22"/>
        </w:rPr>
        <w:t>A general understanding of the current operations and constraints of the State Water Project (SWP) and the Central Valley Project (CVP) is critical in identifying how to use existing water supplies differently for optimal groundwater recharge purposes.</w:t>
      </w:r>
    </w:p>
    <w:p w:rsidR="007D2C63" w:rsidRPr="00636B92" w:rsidRDefault="007D2C63" w:rsidP="007D2C63">
      <w:pPr>
        <w:pBdr>
          <w:top w:val="nil"/>
          <w:left w:val="nil"/>
          <w:bottom w:val="nil"/>
          <w:right w:val="nil"/>
          <w:between w:val="nil"/>
        </w:pBdr>
        <w:spacing w:after="0" w:line="276" w:lineRule="auto"/>
        <w:rPr>
          <w:sz w:val="22"/>
          <w:szCs w:val="22"/>
          <w:u w:val="single"/>
        </w:rPr>
      </w:pPr>
    </w:p>
    <w:p w:rsidR="007D2C63" w:rsidRPr="00636B92" w:rsidRDefault="007D2C63" w:rsidP="007D2C63">
      <w:pPr>
        <w:pBdr>
          <w:top w:val="nil"/>
          <w:left w:val="nil"/>
          <w:bottom w:val="nil"/>
          <w:right w:val="nil"/>
          <w:between w:val="nil"/>
        </w:pBdr>
        <w:spacing w:after="0" w:line="276" w:lineRule="auto"/>
        <w:rPr>
          <w:sz w:val="22"/>
          <w:szCs w:val="22"/>
        </w:rPr>
      </w:pPr>
      <w:r w:rsidRPr="00636B92">
        <w:rPr>
          <w:sz w:val="22"/>
          <w:szCs w:val="22"/>
          <w:u w:val="single"/>
        </w:rPr>
        <w:t>Article 21 Water.</w:t>
      </w:r>
      <w:r w:rsidRPr="00636B92">
        <w:rPr>
          <w:sz w:val="22"/>
          <w:szCs w:val="22"/>
        </w:rPr>
        <w:t xml:space="preserve"> The California Department of Water Resources (DWR) manages the long-term contracts with 29 local water supply entities who receive surface water supplies from the SWP. Table </w:t>
      </w:r>
      <w:proofErr w:type="gramStart"/>
      <w:r w:rsidRPr="00636B92">
        <w:rPr>
          <w:sz w:val="22"/>
          <w:szCs w:val="22"/>
        </w:rPr>
        <w:t>A</w:t>
      </w:r>
      <w:proofErr w:type="gramEnd"/>
      <w:r w:rsidRPr="00636B92">
        <w:rPr>
          <w:sz w:val="22"/>
          <w:szCs w:val="22"/>
        </w:rPr>
        <w:t xml:space="preserve"> amounts are the maximum annual SWP amounts in acre-feet of water delivered to the contractors. Water available for delivery that is non-Table A is called Article 21 water and is identified in the water supply contracts as water that becomes available on an intermittent basis. Article 21 water is considered excess water in the system. Delivery of Article 21 water cannot impact the Table </w:t>
      </w:r>
      <w:proofErr w:type="gramStart"/>
      <w:r w:rsidRPr="00636B92">
        <w:rPr>
          <w:sz w:val="22"/>
          <w:szCs w:val="22"/>
        </w:rPr>
        <w:t>A</w:t>
      </w:r>
      <w:proofErr w:type="gramEnd"/>
      <w:r w:rsidRPr="00636B92">
        <w:rPr>
          <w:sz w:val="22"/>
          <w:szCs w:val="22"/>
        </w:rPr>
        <w:t xml:space="preserve"> allocation of any of the contractor’s water, nor can it negatively impact SWP operations.  A contractor cannot defer their Table </w:t>
      </w:r>
      <w:proofErr w:type="gramStart"/>
      <w:r w:rsidRPr="00636B92">
        <w:rPr>
          <w:sz w:val="22"/>
          <w:szCs w:val="22"/>
        </w:rPr>
        <w:t>A</w:t>
      </w:r>
      <w:proofErr w:type="gramEnd"/>
      <w:r w:rsidRPr="00636B92">
        <w:rPr>
          <w:sz w:val="22"/>
          <w:szCs w:val="22"/>
        </w:rPr>
        <w:t xml:space="preserve"> allocation because they are getting Article 21 water. The process for determining Article 21 water availability and allocation begins with DWR’s SWP Operations Office determining how much water will become available based on forecasted and existing hydrology and then contracts are put in place. Once allocated, DWR then monitors demands on a weekly basis.  </w:t>
      </w:r>
    </w:p>
    <w:p w:rsidR="007D2C63" w:rsidRPr="00636B92" w:rsidRDefault="007D2C63" w:rsidP="007D2C63">
      <w:pPr>
        <w:pBdr>
          <w:top w:val="nil"/>
          <w:left w:val="nil"/>
          <w:bottom w:val="nil"/>
          <w:right w:val="nil"/>
          <w:between w:val="nil"/>
        </w:pBdr>
        <w:spacing w:after="0" w:line="276" w:lineRule="auto"/>
        <w:rPr>
          <w:sz w:val="22"/>
          <w:szCs w:val="22"/>
        </w:rPr>
      </w:pPr>
    </w:p>
    <w:p w:rsidR="007D2C63" w:rsidRPr="00636B92" w:rsidRDefault="007D2C63" w:rsidP="007D2C63">
      <w:pPr>
        <w:pBdr>
          <w:top w:val="nil"/>
          <w:left w:val="nil"/>
          <w:bottom w:val="nil"/>
          <w:right w:val="nil"/>
          <w:between w:val="nil"/>
        </w:pBdr>
        <w:spacing w:after="0" w:line="276" w:lineRule="auto"/>
        <w:rPr>
          <w:bCs/>
          <w:color w:val="000000"/>
          <w:sz w:val="22"/>
          <w:szCs w:val="22"/>
        </w:rPr>
      </w:pPr>
      <w:r w:rsidRPr="00636B92">
        <w:rPr>
          <w:sz w:val="22"/>
          <w:szCs w:val="22"/>
          <w:u w:val="single"/>
        </w:rPr>
        <w:lastRenderedPageBreak/>
        <w:t>Section 215 Water.</w:t>
      </w:r>
      <w:r w:rsidRPr="00636B92">
        <w:rPr>
          <w:sz w:val="22"/>
          <w:szCs w:val="22"/>
        </w:rPr>
        <w:t xml:space="preserve"> Similarly, the Bureau of Reclamation (Bureau) manages the agreements related to the CVP. The Reclamation Reform Act of 1982 includes Section 215, which authorizes the Bureau to provide temporary water service contracts. Section 215 water becomes available because San Luis Reservoir is full and the Jones Pumping Plant’s export capacity exceeds south of Delta service area demands. As an example, in 2018 the Bureau proposed to execute 215 water service contracts with CVP and non-CVP contractors within Friant’s CVP Place of Use (a determined service area). The contract amounts were based on the availability of Section 215 water and managed at the Bureau’s discretion, depending on reservoir capacity and operations, and hydrologic conditions. There were several conditions placed on the 2018 Section 215 water contracts, such as the water could be used for irrigation, municipal and industrial purposes and must be used within the contractor’s water service boundary and Friant’s Place of Use. No banking, transferring, or exchanging of Section 215 water was allowed unless otherwise approved by the Bureau. These contractual limitations are important in understanding the timing, yield, frequency and cost of available water coming from the SWP and the CVP.</w:t>
      </w:r>
    </w:p>
    <w:p w:rsidR="007D2C63" w:rsidRPr="00636B92" w:rsidRDefault="007D2C63" w:rsidP="007D2C63">
      <w:pPr>
        <w:pBdr>
          <w:top w:val="nil"/>
          <w:left w:val="nil"/>
          <w:bottom w:val="nil"/>
          <w:right w:val="nil"/>
          <w:between w:val="nil"/>
        </w:pBdr>
        <w:spacing w:after="0" w:line="276" w:lineRule="auto"/>
        <w:rPr>
          <w:bCs/>
          <w:color w:val="000000"/>
          <w:sz w:val="22"/>
          <w:szCs w:val="22"/>
        </w:rPr>
      </w:pPr>
    </w:p>
    <w:p w:rsidR="007D2C63" w:rsidRPr="00636B92" w:rsidRDefault="007D2C63" w:rsidP="007D2C63">
      <w:pPr>
        <w:pBdr>
          <w:top w:val="nil"/>
          <w:left w:val="nil"/>
          <w:bottom w:val="nil"/>
          <w:right w:val="nil"/>
          <w:between w:val="nil"/>
        </w:pBdr>
        <w:spacing w:after="0" w:line="276" w:lineRule="auto"/>
        <w:rPr>
          <w:color w:val="000000"/>
          <w:sz w:val="22"/>
          <w:szCs w:val="22"/>
        </w:rPr>
      </w:pPr>
      <w:r w:rsidRPr="00636B92">
        <w:rPr>
          <w:bCs/>
          <w:color w:val="000000"/>
          <w:sz w:val="22"/>
          <w:szCs w:val="22"/>
          <w:u w:val="single"/>
        </w:rPr>
        <w:t>Partnerships.</w:t>
      </w:r>
      <w:r w:rsidRPr="00636B92">
        <w:rPr>
          <w:bCs/>
          <w:color w:val="000000"/>
          <w:sz w:val="22"/>
          <w:szCs w:val="22"/>
        </w:rPr>
        <w:t xml:space="preserve"> The relationships between current water rights holders is key to developing recharge projects. As on-farm recharge and other flood-MAR techniques become more widely practiced, individual landowners will be an increasingly important stakeholder to engage with in obtaining and managing water rights and delivering water. Landowners should be considered partners who can help address groundwater recharge based on coordinating their land uses with water agencies or GSAs who have the expertise, water rights and infrastructure to support groundwater replenishment activities. Coordination between basins or sub-basins will also be necessary, so as to not adversely impact neighboring basins or specific areas where there is interconnected surface water and groundwater. Therefore, a priority relationship to foster will be between surface water and groundwater users to develop potential future agreements. Coordination with local entities and state a</w:t>
      </w:r>
      <w:r w:rsidRPr="00636B92">
        <w:rPr>
          <w:color w:val="000000"/>
          <w:sz w:val="22"/>
          <w:szCs w:val="22"/>
        </w:rPr>
        <w:t>gencies will be important for acquiring permits, water rights, and for environmental planning purposes to manage critical habitat and biological species, such as through safe harbor agreements, habitat conservation plans (HCPs), or natural community conservation plans (NCCPs).</w:t>
      </w:r>
    </w:p>
    <w:p w:rsidR="007D2C63" w:rsidRDefault="007D2C63" w:rsidP="007D2C63">
      <w:pPr>
        <w:pBdr>
          <w:top w:val="nil"/>
          <w:left w:val="nil"/>
          <w:bottom w:val="nil"/>
          <w:right w:val="nil"/>
          <w:between w:val="nil"/>
        </w:pBdr>
        <w:spacing w:after="0" w:line="240" w:lineRule="auto"/>
        <w:rPr>
          <w:color w:val="000000"/>
          <w:sz w:val="24"/>
          <w:szCs w:val="24"/>
        </w:rPr>
      </w:pPr>
    </w:p>
    <w:p w:rsidR="007D2C63" w:rsidRDefault="007D2C63" w:rsidP="007D2C63">
      <w:pPr>
        <w:pBdr>
          <w:top w:val="nil"/>
          <w:left w:val="nil"/>
          <w:bottom w:val="nil"/>
          <w:right w:val="nil"/>
          <w:between w:val="nil"/>
        </w:pBdr>
        <w:spacing w:after="0" w:line="240" w:lineRule="auto"/>
        <w:rPr>
          <w:bCs/>
          <w:color w:val="000000"/>
          <w:sz w:val="24"/>
          <w:szCs w:val="24"/>
        </w:rPr>
      </w:pPr>
      <w:r w:rsidRPr="000E096B">
        <w:rPr>
          <w:b/>
          <w:color w:val="31849B" w:themeColor="accent5" w:themeShade="BF"/>
          <w:sz w:val="32"/>
        </w:rPr>
        <w:t>Administrative Considerations to Advance</w:t>
      </w:r>
    </w:p>
    <w:p w:rsidR="007D2C63" w:rsidRPr="00636B92" w:rsidRDefault="007D2C63" w:rsidP="007D2C63">
      <w:pPr>
        <w:pBdr>
          <w:top w:val="nil"/>
          <w:left w:val="nil"/>
          <w:bottom w:val="nil"/>
          <w:right w:val="nil"/>
          <w:between w:val="nil"/>
        </w:pBdr>
        <w:spacing w:after="0" w:line="276" w:lineRule="auto"/>
        <w:rPr>
          <w:bCs/>
          <w:color w:val="000000"/>
          <w:sz w:val="22"/>
          <w:szCs w:val="22"/>
        </w:rPr>
      </w:pPr>
      <w:r w:rsidRPr="00636B92">
        <w:rPr>
          <w:bCs/>
          <w:color w:val="000000"/>
          <w:sz w:val="22"/>
          <w:szCs w:val="22"/>
        </w:rPr>
        <w:t xml:space="preserve">There are other administrative aspects for GSAs and local entities to consider when moving forward with planning for groundwater recharge projects. The State Water Board’s proposed streamlined permit to capture excess flows could be a tool for local entities to utilize once it becomes available. DWR provides grant funding, technical and facilitation support services that could be used to support GSAs working to develop recharge projects. The GSAs have statutory fee authority for when there is a need for additional funding to support recharge efforts. When GSAs make developments in these technical, institutional, and administrative areas, the GSPs should be updated to incorporate this information as planned actions to increase replenishment activities. </w:t>
      </w:r>
    </w:p>
    <w:p w:rsidR="007D2C63" w:rsidRDefault="007D2C63" w:rsidP="007D2C63">
      <w:pPr>
        <w:pBdr>
          <w:top w:val="nil"/>
          <w:left w:val="nil"/>
          <w:bottom w:val="nil"/>
          <w:right w:val="nil"/>
          <w:between w:val="nil"/>
        </w:pBdr>
        <w:spacing w:after="0" w:line="240" w:lineRule="auto"/>
      </w:pPr>
    </w:p>
    <w:p w:rsidR="007D2C63" w:rsidRPr="001D6B51" w:rsidRDefault="007D2C63" w:rsidP="007D2C63">
      <w:pPr>
        <w:pBdr>
          <w:top w:val="nil"/>
          <w:left w:val="nil"/>
          <w:bottom w:val="nil"/>
          <w:right w:val="nil"/>
          <w:between w:val="nil"/>
        </w:pBdr>
        <w:spacing w:after="0" w:line="240" w:lineRule="auto"/>
        <w:rPr>
          <w:color w:val="000000"/>
          <w:sz w:val="24"/>
          <w:szCs w:val="24"/>
        </w:rPr>
      </w:pPr>
      <w:r>
        <w:br w:type="page"/>
      </w:r>
    </w:p>
    <w:p w:rsidR="007D2C63" w:rsidRDefault="007D2C63" w:rsidP="007D2C63">
      <w:pPr>
        <w:spacing w:after="0"/>
        <w:rPr>
          <w:b/>
          <w:color w:val="487B78"/>
          <w:sz w:val="40"/>
          <w:szCs w:val="40"/>
        </w:rPr>
      </w:pPr>
      <w:r>
        <w:rPr>
          <w:b/>
          <w:color w:val="487B78"/>
          <w:sz w:val="40"/>
          <w:szCs w:val="40"/>
        </w:rPr>
        <w:lastRenderedPageBreak/>
        <w:t xml:space="preserve">ACWA Checklist for Groundwater Replenishment </w:t>
      </w:r>
    </w:p>
    <w:p w:rsidR="007D2C63" w:rsidRPr="00636B92" w:rsidRDefault="007D2C63" w:rsidP="007D2C63">
      <w:pPr>
        <w:pBdr>
          <w:top w:val="nil"/>
          <w:left w:val="nil"/>
          <w:bottom w:val="nil"/>
          <w:right w:val="nil"/>
          <w:between w:val="nil"/>
        </w:pBdr>
        <w:spacing w:after="0" w:line="276" w:lineRule="auto"/>
        <w:rPr>
          <w:color w:val="000000"/>
          <w:sz w:val="22"/>
          <w:szCs w:val="22"/>
        </w:rPr>
      </w:pPr>
      <w:r w:rsidRPr="00636B92">
        <w:rPr>
          <w:color w:val="000000"/>
          <w:sz w:val="22"/>
          <w:szCs w:val="22"/>
        </w:rPr>
        <w:t xml:space="preserve">The checklist below includes the technical, institutional, and administrative considerations. This checklist does not outline all possible challenges, but provides an initial list from which water managers can start evaluating locally-relevant considerations, and develop basin-specific groundwater recharge proposals and activities in the </w:t>
      </w:r>
      <w:r w:rsidRPr="00636B92">
        <w:rPr>
          <w:i/>
          <w:color w:val="000000"/>
          <w:sz w:val="22"/>
          <w:szCs w:val="22"/>
        </w:rPr>
        <w:t xml:space="preserve">Projects and Management Actions </w:t>
      </w:r>
      <w:r w:rsidRPr="00636B92">
        <w:rPr>
          <w:color w:val="000000"/>
          <w:sz w:val="22"/>
          <w:szCs w:val="22"/>
        </w:rPr>
        <w:t>section in the GSPs.</w:t>
      </w:r>
    </w:p>
    <w:p w:rsidR="007D2C63" w:rsidRDefault="007D2C63" w:rsidP="007D2C63">
      <w:pPr>
        <w:pBdr>
          <w:top w:val="nil"/>
          <w:left w:val="nil"/>
          <w:bottom w:val="nil"/>
          <w:right w:val="nil"/>
          <w:between w:val="nil"/>
        </w:pBdr>
        <w:spacing w:after="0" w:line="240" w:lineRule="auto"/>
        <w:rPr>
          <w:b/>
          <w:bCs/>
          <w:color w:val="000000"/>
          <w:sz w:val="22"/>
          <w:szCs w:val="22"/>
        </w:rPr>
      </w:pPr>
    </w:p>
    <w:p w:rsidR="007D2C63" w:rsidRPr="00636B92" w:rsidRDefault="007D2C63" w:rsidP="007D2C63">
      <w:pPr>
        <w:pBdr>
          <w:top w:val="nil"/>
          <w:left w:val="nil"/>
          <w:bottom w:val="nil"/>
          <w:right w:val="nil"/>
          <w:between w:val="nil"/>
        </w:pBdr>
        <w:spacing w:after="0" w:line="240" w:lineRule="auto"/>
        <w:rPr>
          <w:b/>
          <w:bCs/>
          <w:color w:val="000000"/>
          <w:sz w:val="22"/>
          <w:szCs w:val="22"/>
        </w:rPr>
      </w:pPr>
      <w:r w:rsidRPr="00636B92">
        <w:rPr>
          <w:b/>
          <w:bCs/>
          <w:color w:val="000000"/>
          <w:sz w:val="22"/>
          <w:szCs w:val="22"/>
        </w:rPr>
        <w:t>Financial Considerations</w:t>
      </w:r>
    </w:p>
    <w:p w:rsidR="007D2C63" w:rsidRPr="00636B92" w:rsidRDefault="007D2C63" w:rsidP="007D2C63">
      <w:pPr>
        <w:numPr>
          <w:ilvl w:val="0"/>
          <w:numId w:val="10"/>
        </w:numPr>
        <w:pBdr>
          <w:top w:val="nil"/>
          <w:left w:val="nil"/>
          <w:bottom w:val="nil"/>
          <w:right w:val="nil"/>
          <w:between w:val="nil"/>
        </w:pBdr>
        <w:spacing w:after="0" w:line="240" w:lineRule="auto"/>
        <w:rPr>
          <w:color w:val="000000"/>
          <w:sz w:val="22"/>
          <w:szCs w:val="22"/>
        </w:rPr>
      </w:pPr>
      <w:r w:rsidRPr="00636B92">
        <w:rPr>
          <w:color w:val="000000"/>
          <w:sz w:val="22"/>
          <w:szCs w:val="22"/>
        </w:rPr>
        <w:t xml:space="preserve">Scoping the funding for project development, including capital costs, operating costs and water supply cost &amp; yield </w:t>
      </w:r>
    </w:p>
    <w:p w:rsidR="007D2C63" w:rsidRDefault="007D2C63" w:rsidP="007D2C63">
      <w:pPr>
        <w:pBdr>
          <w:top w:val="nil"/>
          <w:left w:val="nil"/>
          <w:bottom w:val="nil"/>
          <w:right w:val="nil"/>
          <w:between w:val="nil"/>
        </w:pBdr>
        <w:spacing w:after="0" w:line="240" w:lineRule="auto"/>
        <w:rPr>
          <w:b/>
          <w:color w:val="000000"/>
          <w:sz w:val="22"/>
          <w:szCs w:val="22"/>
        </w:rPr>
      </w:pPr>
    </w:p>
    <w:p w:rsidR="007D2C63" w:rsidRPr="00636B92" w:rsidRDefault="007D2C63" w:rsidP="007D2C63">
      <w:pPr>
        <w:pBdr>
          <w:top w:val="nil"/>
          <w:left w:val="nil"/>
          <w:bottom w:val="nil"/>
          <w:right w:val="nil"/>
          <w:between w:val="nil"/>
        </w:pBdr>
        <w:spacing w:after="0" w:line="240" w:lineRule="auto"/>
        <w:rPr>
          <w:b/>
          <w:color w:val="000000"/>
          <w:sz w:val="22"/>
          <w:szCs w:val="22"/>
        </w:rPr>
      </w:pPr>
      <w:r w:rsidRPr="00636B92">
        <w:rPr>
          <w:b/>
          <w:color w:val="000000"/>
          <w:sz w:val="22"/>
          <w:szCs w:val="22"/>
        </w:rPr>
        <w:t xml:space="preserve">Technical Considerations </w:t>
      </w:r>
    </w:p>
    <w:p w:rsidR="007D2C63" w:rsidRPr="00636B92" w:rsidRDefault="007D2C63" w:rsidP="007D2C63">
      <w:pPr>
        <w:numPr>
          <w:ilvl w:val="0"/>
          <w:numId w:val="7"/>
        </w:numPr>
        <w:pBdr>
          <w:top w:val="nil"/>
          <w:left w:val="nil"/>
          <w:bottom w:val="nil"/>
          <w:right w:val="nil"/>
          <w:between w:val="nil"/>
        </w:pBdr>
        <w:spacing w:after="0" w:line="240" w:lineRule="auto"/>
        <w:rPr>
          <w:color w:val="000000"/>
          <w:sz w:val="22"/>
          <w:szCs w:val="22"/>
        </w:rPr>
      </w:pPr>
      <w:r w:rsidRPr="00636B92">
        <w:rPr>
          <w:color w:val="000000"/>
          <w:sz w:val="22"/>
          <w:szCs w:val="22"/>
        </w:rPr>
        <w:t>Sources of water supply</w:t>
      </w:r>
    </w:p>
    <w:p w:rsidR="007D2C63" w:rsidRPr="00636B92" w:rsidRDefault="007D2C63" w:rsidP="007D2C63">
      <w:pPr>
        <w:numPr>
          <w:ilvl w:val="1"/>
          <w:numId w:val="7"/>
        </w:numPr>
        <w:pBdr>
          <w:top w:val="nil"/>
          <w:left w:val="nil"/>
          <w:bottom w:val="nil"/>
          <w:right w:val="nil"/>
          <w:between w:val="nil"/>
        </w:pBdr>
        <w:spacing w:after="0" w:line="240" w:lineRule="auto"/>
        <w:rPr>
          <w:color w:val="000000"/>
          <w:sz w:val="22"/>
          <w:szCs w:val="22"/>
        </w:rPr>
      </w:pPr>
      <w:r w:rsidRPr="00636B92">
        <w:rPr>
          <w:color w:val="000000"/>
          <w:sz w:val="22"/>
          <w:szCs w:val="22"/>
        </w:rPr>
        <w:t xml:space="preserve">Contractual limitations </w:t>
      </w:r>
    </w:p>
    <w:p w:rsidR="007D2C63" w:rsidRPr="00636B92" w:rsidRDefault="007D2C63" w:rsidP="007D2C63">
      <w:pPr>
        <w:numPr>
          <w:ilvl w:val="0"/>
          <w:numId w:val="7"/>
        </w:numPr>
        <w:pBdr>
          <w:top w:val="nil"/>
          <w:left w:val="nil"/>
          <w:bottom w:val="nil"/>
          <w:right w:val="nil"/>
          <w:between w:val="nil"/>
        </w:pBdr>
        <w:spacing w:after="0" w:line="240" w:lineRule="auto"/>
        <w:rPr>
          <w:color w:val="000000"/>
          <w:sz w:val="22"/>
          <w:szCs w:val="22"/>
        </w:rPr>
      </w:pPr>
      <w:r w:rsidRPr="00636B92">
        <w:rPr>
          <w:color w:val="000000"/>
          <w:sz w:val="22"/>
          <w:szCs w:val="22"/>
        </w:rPr>
        <w:t>Infrastructure needs and constraints</w:t>
      </w:r>
    </w:p>
    <w:p w:rsidR="007D2C63" w:rsidRPr="00636B92" w:rsidRDefault="007D2C63" w:rsidP="007D2C63">
      <w:pPr>
        <w:numPr>
          <w:ilvl w:val="1"/>
          <w:numId w:val="7"/>
        </w:numPr>
        <w:pBdr>
          <w:top w:val="nil"/>
          <w:left w:val="nil"/>
          <w:bottom w:val="nil"/>
          <w:right w:val="nil"/>
          <w:between w:val="nil"/>
        </w:pBdr>
        <w:spacing w:after="0" w:line="240" w:lineRule="auto"/>
        <w:rPr>
          <w:color w:val="000000"/>
          <w:sz w:val="22"/>
          <w:szCs w:val="22"/>
        </w:rPr>
      </w:pPr>
      <w:r w:rsidRPr="00636B92">
        <w:rPr>
          <w:color w:val="000000"/>
          <w:sz w:val="22"/>
          <w:szCs w:val="22"/>
        </w:rPr>
        <w:t xml:space="preserve">Conveyance accountability and timing of releases </w:t>
      </w:r>
    </w:p>
    <w:p w:rsidR="007D2C63" w:rsidRPr="00636B92" w:rsidRDefault="007D2C63" w:rsidP="007D2C63">
      <w:pPr>
        <w:numPr>
          <w:ilvl w:val="1"/>
          <w:numId w:val="7"/>
        </w:numPr>
        <w:pBdr>
          <w:top w:val="nil"/>
          <w:left w:val="nil"/>
          <w:bottom w:val="nil"/>
          <w:right w:val="nil"/>
          <w:between w:val="nil"/>
        </w:pBdr>
        <w:spacing w:after="0" w:line="240" w:lineRule="auto"/>
        <w:rPr>
          <w:color w:val="000000"/>
          <w:sz w:val="22"/>
          <w:szCs w:val="22"/>
        </w:rPr>
      </w:pPr>
      <w:r w:rsidRPr="00636B92">
        <w:rPr>
          <w:color w:val="000000"/>
          <w:sz w:val="22"/>
          <w:szCs w:val="22"/>
        </w:rPr>
        <w:t>New local infrastructure, if needed</w:t>
      </w:r>
    </w:p>
    <w:p w:rsidR="007D2C63" w:rsidRPr="00636B92" w:rsidRDefault="007D2C63" w:rsidP="007D2C63">
      <w:pPr>
        <w:numPr>
          <w:ilvl w:val="0"/>
          <w:numId w:val="7"/>
        </w:numPr>
        <w:pBdr>
          <w:top w:val="nil"/>
          <w:left w:val="nil"/>
          <w:bottom w:val="nil"/>
          <w:right w:val="nil"/>
          <w:between w:val="nil"/>
        </w:pBdr>
        <w:spacing w:after="0" w:line="240" w:lineRule="auto"/>
        <w:rPr>
          <w:color w:val="000000"/>
          <w:sz w:val="22"/>
          <w:szCs w:val="22"/>
        </w:rPr>
      </w:pPr>
      <w:r w:rsidRPr="00636B92">
        <w:rPr>
          <w:color w:val="000000"/>
          <w:sz w:val="22"/>
          <w:szCs w:val="22"/>
        </w:rPr>
        <w:t xml:space="preserve">Various recharge methods </w:t>
      </w:r>
    </w:p>
    <w:p w:rsidR="007D2C63" w:rsidRPr="00636B92" w:rsidRDefault="007D2C63" w:rsidP="007D2C63">
      <w:pPr>
        <w:numPr>
          <w:ilvl w:val="1"/>
          <w:numId w:val="7"/>
        </w:numPr>
        <w:pBdr>
          <w:top w:val="nil"/>
          <w:left w:val="nil"/>
          <w:bottom w:val="nil"/>
          <w:right w:val="nil"/>
          <w:between w:val="nil"/>
        </w:pBdr>
        <w:spacing w:after="0" w:line="240" w:lineRule="auto"/>
        <w:rPr>
          <w:color w:val="000000"/>
          <w:sz w:val="22"/>
          <w:szCs w:val="22"/>
        </w:rPr>
      </w:pPr>
      <w:r w:rsidRPr="00636B92">
        <w:rPr>
          <w:color w:val="000000"/>
          <w:sz w:val="22"/>
          <w:szCs w:val="22"/>
        </w:rPr>
        <w:t xml:space="preserve">Direct recharge or in lieu recharge </w:t>
      </w:r>
    </w:p>
    <w:p w:rsidR="007D2C63" w:rsidRPr="00636B92" w:rsidRDefault="007D2C63" w:rsidP="007D2C63">
      <w:pPr>
        <w:numPr>
          <w:ilvl w:val="1"/>
          <w:numId w:val="7"/>
        </w:numPr>
        <w:pBdr>
          <w:top w:val="nil"/>
          <w:left w:val="nil"/>
          <w:bottom w:val="nil"/>
          <w:right w:val="nil"/>
          <w:between w:val="nil"/>
        </w:pBdr>
        <w:spacing w:after="0" w:line="240" w:lineRule="auto"/>
        <w:rPr>
          <w:color w:val="000000"/>
          <w:sz w:val="22"/>
          <w:szCs w:val="22"/>
        </w:rPr>
      </w:pPr>
      <w:r w:rsidRPr="00636B92">
        <w:rPr>
          <w:color w:val="000000"/>
          <w:sz w:val="22"/>
          <w:szCs w:val="22"/>
        </w:rPr>
        <w:t>Direct recharge methods includes various methods such as injection wells, recharge ponds, and flood-MAR techniques</w:t>
      </w:r>
    </w:p>
    <w:p w:rsidR="007D2C63" w:rsidRPr="00636B92" w:rsidRDefault="007D2C63" w:rsidP="007D2C63">
      <w:pPr>
        <w:numPr>
          <w:ilvl w:val="0"/>
          <w:numId w:val="7"/>
        </w:numPr>
        <w:pBdr>
          <w:top w:val="nil"/>
          <w:left w:val="nil"/>
          <w:bottom w:val="nil"/>
          <w:right w:val="nil"/>
          <w:between w:val="nil"/>
        </w:pBdr>
        <w:spacing w:after="0" w:line="240" w:lineRule="auto"/>
        <w:rPr>
          <w:color w:val="000000"/>
          <w:sz w:val="22"/>
          <w:szCs w:val="22"/>
        </w:rPr>
      </w:pPr>
      <w:r w:rsidRPr="00636B92">
        <w:rPr>
          <w:color w:val="000000"/>
          <w:sz w:val="22"/>
          <w:szCs w:val="22"/>
        </w:rPr>
        <w:t>Appropriate direct recharge locations</w:t>
      </w:r>
    </w:p>
    <w:p w:rsidR="007D2C63" w:rsidRPr="00636B92" w:rsidRDefault="007D2C63" w:rsidP="007D2C63">
      <w:pPr>
        <w:numPr>
          <w:ilvl w:val="1"/>
          <w:numId w:val="7"/>
        </w:numPr>
        <w:pBdr>
          <w:top w:val="nil"/>
          <w:left w:val="nil"/>
          <w:bottom w:val="nil"/>
          <w:right w:val="nil"/>
          <w:between w:val="nil"/>
        </w:pBdr>
        <w:spacing w:after="0" w:line="240" w:lineRule="auto"/>
        <w:rPr>
          <w:color w:val="000000"/>
          <w:sz w:val="22"/>
          <w:szCs w:val="22"/>
        </w:rPr>
      </w:pPr>
      <w:r w:rsidRPr="00636B92">
        <w:rPr>
          <w:color w:val="000000"/>
          <w:sz w:val="22"/>
          <w:szCs w:val="22"/>
        </w:rPr>
        <w:t xml:space="preserve">Land use acquisition or land use planning decisions and constraints </w:t>
      </w:r>
    </w:p>
    <w:p w:rsidR="007D2C63" w:rsidRPr="00636B92" w:rsidRDefault="007D2C63" w:rsidP="007D2C63">
      <w:pPr>
        <w:numPr>
          <w:ilvl w:val="1"/>
          <w:numId w:val="7"/>
        </w:numPr>
        <w:pBdr>
          <w:top w:val="nil"/>
          <w:left w:val="nil"/>
          <w:bottom w:val="nil"/>
          <w:right w:val="nil"/>
          <w:between w:val="nil"/>
        </w:pBdr>
        <w:spacing w:after="0" w:line="240" w:lineRule="auto"/>
        <w:rPr>
          <w:color w:val="000000"/>
          <w:sz w:val="22"/>
          <w:szCs w:val="22"/>
        </w:rPr>
      </w:pPr>
      <w:r w:rsidRPr="00636B92">
        <w:rPr>
          <w:color w:val="000000"/>
          <w:sz w:val="22"/>
          <w:szCs w:val="22"/>
        </w:rPr>
        <w:t xml:space="preserve">Physical conditions of the surface and subsurface environment, soils and geology </w:t>
      </w:r>
    </w:p>
    <w:p w:rsidR="007D2C63" w:rsidRPr="00636B92" w:rsidRDefault="007D2C63" w:rsidP="007D2C63">
      <w:pPr>
        <w:numPr>
          <w:ilvl w:val="1"/>
          <w:numId w:val="7"/>
        </w:numPr>
        <w:pBdr>
          <w:top w:val="nil"/>
          <w:left w:val="nil"/>
          <w:bottom w:val="nil"/>
          <w:right w:val="nil"/>
          <w:between w:val="nil"/>
        </w:pBdr>
        <w:spacing w:after="0" w:line="240" w:lineRule="auto"/>
        <w:rPr>
          <w:color w:val="000000"/>
          <w:sz w:val="22"/>
          <w:szCs w:val="22"/>
        </w:rPr>
      </w:pPr>
      <w:r w:rsidRPr="00636B92">
        <w:rPr>
          <w:color w:val="000000"/>
          <w:sz w:val="22"/>
          <w:szCs w:val="22"/>
        </w:rPr>
        <w:t>Place of use and water quality considerations of source water supply</w:t>
      </w:r>
    </w:p>
    <w:p w:rsidR="007D2C63" w:rsidRDefault="007D2C63" w:rsidP="007D2C63">
      <w:pPr>
        <w:pBdr>
          <w:top w:val="nil"/>
          <w:left w:val="nil"/>
          <w:bottom w:val="nil"/>
          <w:right w:val="nil"/>
          <w:between w:val="nil"/>
        </w:pBdr>
        <w:spacing w:after="0" w:line="240" w:lineRule="auto"/>
        <w:rPr>
          <w:b/>
          <w:color w:val="000000"/>
          <w:sz w:val="22"/>
          <w:szCs w:val="22"/>
        </w:rPr>
      </w:pPr>
    </w:p>
    <w:p w:rsidR="007D2C63" w:rsidRPr="00636B92" w:rsidRDefault="007D2C63" w:rsidP="007D2C63">
      <w:pPr>
        <w:pBdr>
          <w:top w:val="nil"/>
          <w:left w:val="nil"/>
          <w:bottom w:val="nil"/>
          <w:right w:val="nil"/>
          <w:between w:val="nil"/>
        </w:pBdr>
        <w:spacing w:after="0" w:line="240" w:lineRule="auto"/>
        <w:rPr>
          <w:b/>
          <w:color w:val="000000"/>
          <w:sz w:val="22"/>
          <w:szCs w:val="22"/>
        </w:rPr>
      </w:pPr>
      <w:r w:rsidRPr="00636B92">
        <w:rPr>
          <w:b/>
          <w:color w:val="000000"/>
          <w:sz w:val="22"/>
          <w:szCs w:val="22"/>
        </w:rPr>
        <w:t xml:space="preserve">Institutional Considerations </w:t>
      </w:r>
    </w:p>
    <w:p w:rsidR="007D2C63" w:rsidRPr="00636B92" w:rsidRDefault="007D2C63" w:rsidP="007D2C63">
      <w:pPr>
        <w:numPr>
          <w:ilvl w:val="0"/>
          <w:numId w:val="9"/>
        </w:numPr>
        <w:pBdr>
          <w:top w:val="nil"/>
          <w:left w:val="nil"/>
          <w:bottom w:val="nil"/>
          <w:right w:val="nil"/>
          <w:between w:val="nil"/>
        </w:pBdr>
        <w:spacing w:after="0" w:line="240" w:lineRule="auto"/>
        <w:rPr>
          <w:color w:val="000000"/>
          <w:sz w:val="22"/>
          <w:szCs w:val="22"/>
        </w:rPr>
      </w:pPr>
      <w:r w:rsidRPr="00636B92">
        <w:rPr>
          <w:color w:val="000000"/>
          <w:sz w:val="22"/>
          <w:szCs w:val="22"/>
        </w:rPr>
        <w:t>How the water rights system affects recharge projects</w:t>
      </w:r>
    </w:p>
    <w:p w:rsidR="007D2C63" w:rsidRPr="00636B92" w:rsidRDefault="007D2C63" w:rsidP="0000587D">
      <w:pPr>
        <w:numPr>
          <w:ilvl w:val="1"/>
          <w:numId w:val="9"/>
        </w:numPr>
        <w:pBdr>
          <w:top w:val="nil"/>
          <w:left w:val="nil"/>
          <w:bottom w:val="nil"/>
          <w:right w:val="nil"/>
          <w:between w:val="nil"/>
        </w:pBdr>
        <w:spacing w:after="0" w:line="240" w:lineRule="auto"/>
        <w:rPr>
          <w:color w:val="000000"/>
          <w:sz w:val="22"/>
          <w:szCs w:val="22"/>
        </w:rPr>
      </w:pPr>
      <w:r w:rsidRPr="00636B92">
        <w:rPr>
          <w:color w:val="000000"/>
          <w:sz w:val="22"/>
          <w:szCs w:val="22"/>
        </w:rPr>
        <w:t>Current water rights holders and consideration of individual la</w:t>
      </w:r>
      <w:r w:rsidR="0000587D">
        <w:rPr>
          <w:color w:val="000000"/>
          <w:sz w:val="22"/>
          <w:szCs w:val="22"/>
        </w:rPr>
        <w:t>ndowners obtaining water rights (balance water rights to ensure groundwater availability for beneficial uses/users)</w:t>
      </w:r>
    </w:p>
    <w:p w:rsidR="007D2C63" w:rsidRPr="00636B92" w:rsidRDefault="007D2C63" w:rsidP="007D2C63">
      <w:pPr>
        <w:numPr>
          <w:ilvl w:val="0"/>
          <w:numId w:val="9"/>
        </w:numPr>
        <w:pBdr>
          <w:top w:val="nil"/>
          <w:left w:val="nil"/>
          <w:bottom w:val="nil"/>
          <w:right w:val="nil"/>
          <w:between w:val="nil"/>
        </w:pBdr>
        <w:spacing w:after="0" w:line="240" w:lineRule="auto"/>
        <w:rPr>
          <w:color w:val="000000"/>
          <w:sz w:val="22"/>
          <w:szCs w:val="22"/>
        </w:rPr>
      </w:pPr>
      <w:r w:rsidRPr="00636B92">
        <w:rPr>
          <w:color w:val="000000"/>
          <w:sz w:val="22"/>
          <w:szCs w:val="22"/>
        </w:rPr>
        <w:t xml:space="preserve">Navigating partnerships </w:t>
      </w:r>
    </w:p>
    <w:p w:rsidR="007D2C63" w:rsidRPr="00636B92" w:rsidRDefault="007D2C63" w:rsidP="007D2C63">
      <w:pPr>
        <w:numPr>
          <w:ilvl w:val="1"/>
          <w:numId w:val="9"/>
        </w:numPr>
        <w:pBdr>
          <w:top w:val="nil"/>
          <w:left w:val="nil"/>
          <w:bottom w:val="nil"/>
          <w:right w:val="nil"/>
          <w:between w:val="nil"/>
        </w:pBdr>
        <w:spacing w:after="0" w:line="240" w:lineRule="auto"/>
        <w:rPr>
          <w:color w:val="000000"/>
          <w:sz w:val="22"/>
          <w:szCs w:val="22"/>
        </w:rPr>
      </w:pPr>
      <w:r w:rsidRPr="00636B92">
        <w:rPr>
          <w:color w:val="000000"/>
          <w:sz w:val="22"/>
          <w:szCs w:val="22"/>
        </w:rPr>
        <w:t>Coordination between basins</w:t>
      </w:r>
    </w:p>
    <w:p w:rsidR="007D2C63" w:rsidRPr="00636B92" w:rsidRDefault="007D2C63" w:rsidP="007D2C63">
      <w:pPr>
        <w:numPr>
          <w:ilvl w:val="1"/>
          <w:numId w:val="9"/>
        </w:numPr>
        <w:pBdr>
          <w:top w:val="nil"/>
          <w:left w:val="nil"/>
          <w:bottom w:val="nil"/>
          <w:right w:val="nil"/>
          <w:between w:val="nil"/>
        </w:pBdr>
        <w:spacing w:after="0" w:line="240" w:lineRule="auto"/>
        <w:rPr>
          <w:color w:val="000000"/>
          <w:sz w:val="22"/>
          <w:szCs w:val="22"/>
        </w:rPr>
      </w:pPr>
      <w:r w:rsidRPr="00636B92">
        <w:rPr>
          <w:color w:val="000000"/>
          <w:sz w:val="22"/>
          <w:szCs w:val="22"/>
        </w:rPr>
        <w:t>Communication between surface water districts and groundwater users</w:t>
      </w:r>
    </w:p>
    <w:p w:rsidR="007D2C63" w:rsidRPr="00636B92" w:rsidRDefault="007D2C63" w:rsidP="0000587D">
      <w:pPr>
        <w:numPr>
          <w:ilvl w:val="1"/>
          <w:numId w:val="9"/>
        </w:numPr>
        <w:pBdr>
          <w:top w:val="nil"/>
          <w:left w:val="nil"/>
          <w:bottom w:val="nil"/>
          <w:right w:val="nil"/>
          <w:between w:val="nil"/>
        </w:pBdr>
        <w:spacing w:after="0" w:line="240" w:lineRule="auto"/>
        <w:rPr>
          <w:color w:val="000000"/>
          <w:sz w:val="22"/>
          <w:szCs w:val="22"/>
        </w:rPr>
      </w:pPr>
      <w:r w:rsidRPr="00636B92">
        <w:rPr>
          <w:color w:val="000000"/>
          <w:sz w:val="22"/>
          <w:szCs w:val="22"/>
        </w:rPr>
        <w:t xml:space="preserve">Potential agreements between individual landowners and water agencies </w:t>
      </w:r>
      <w:r w:rsidR="0000587D">
        <w:rPr>
          <w:color w:val="000000"/>
          <w:sz w:val="22"/>
          <w:szCs w:val="22"/>
        </w:rPr>
        <w:t>(beneficiaries)</w:t>
      </w:r>
    </w:p>
    <w:p w:rsidR="007D2C63" w:rsidRPr="00636B92" w:rsidRDefault="007D2C63" w:rsidP="007D2C63">
      <w:pPr>
        <w:numPr>
          <w:ilvl w:val="1"/>
          <w:numId w:val="9"/>
        </w:numPr>
        <w:pBdr>
          <w:top w:val="nil"/>
          <w:left w:val="nil"/>
          <w:bottom w:val="nil"/>
          <w:right w:val="nil"/>
          <w:between w:val="nil"/>
        </w:pBdr>
        <w:spacing w:after="0" w:line="240" w:lineRule="auto"/>
        <w:rPr>
          <w:color w:val="000000"/>
          <w:sz w:val="22"/>
          <w:szCs w:val="22"/>
        </w:rPr>
      </w:pPr>
      <w:r w:rsidRPr="00636B92">
        <w:rPr>
          <w:color w:val="000000"/>
          <w:sz w:val="22"/>
          <w:szCs w:val="22"/>
        </w:rPr>
        <w:t xml:space="preserve">Coordination with state agencies related to permits, water rights, and environmental planning purposes </w:t>
      </w:r>
    </w:p>
    <w:p w:rsidR="007D2C63" w:rsidRPr="00636B92" w:rsidRDefault="007D2C63" w:rsidP="007D2C63">
      <w:pPr>
        <w:numPr>
          <w:ilvl w:val="0"/>
          <w:numId w:val="9"/>
        </w:numPr>
        <w:pBdr>
          <w:top w:val="nil"/>
          <w:left w:val="nil"/>
          <w:bottom w:val="nil"/>
          <w:right w:val="nil"/>
          <w:between w:val="nil"/>
        </w:pBdr>
        <w:spacing w:after="0" w:line="240" w:lineRule="auto"/>
        <w:rPr>
          <w:color w:val="000000"/>
          <w:sz w:val="22"/>
          <w:szCs w:val="22"/>
        </w:rPr>
      </w:pPr>
      <w:r w:rsidRPr="00636B92">
        <w:rPr>
          <w:color w:val="000000"/>
          <w:sz w:val="22"/>
          <w:szCs w:val="22"/>
        </w:rPr>
        <w:t xml:space="preserve">Other regulatory barriers to developing such recharge projects </w:t>
      </w:r>
    </w:p>
    <w:p w:rsidR="007D2C63" w:rsidRPr="00636B92" w:rsidRDefault="007D2C63" w:rsidP="007D2C63">
      <w:pPr>
        <w:numPr>
          <w:ilvl w:val="1"/>
          <w:numId w:val="9"/>
        </w:numPr>
        <w:pBdr>
          <w:top w:val="nil"/>
          <w:left w:val="nil"/>
          <w:bottom w:val="nil"/>
          <w:right w:val="nil"/>
          <w:between w:val="nil"/>
        </w:pBdr>
        <w:spacing w:after="0" w:line="240" w:lineRule="auto"/>
        <w:rPr>
          <w:color w:val="000000"/>
          <w:sz w:val="22"/>
          <w:szCs w:val="22"/>
        </w:rPr>
      </w:pPr>
      <w:r w:rsidRPr="00636B92">
        <w:rPr>
          <w:color w:val="000000"/>
          <w:sz w:val="22"/>
          <w:szCs w:val="22"/>
        </w:rPr>
        <w:t>Legal or procedural operation agreement constraints</w:t>
      </w:r>
    </w:p>
    <w:p w:rsidR="0000587D" w:rsidRDefault="0000587D" w:rsidP="007D2C63">
      <w:pPr>
        <w:pBdr>
          <w:top w:val="nil"/>
          <w:left w:val="nil"/>
          <w:bottom w:val="nil"/>
          <w:right w:val="nil"/>
          <w:between w:val="nil"/>
        </w:pBdr>
        <w:spacing w:after="0" w:line="240" w:lineRule="auto"/>
        <w:rPr>
          <w:b/>
          <w:color w:val="000000"/>
          <w:sz w:val="22"/>
          <w:szCs w:val="22"/>
        </w:rPr>
      </w:pPr>
    </w:p>
    <w:p w:rsidR="007D2C63" w:rsidRPr="00636B92" w:rsidRDefault="007D2C63" w:rsidP="007D2C63">
      <w:pPr>
        <w:pBdr>
          <w:top w:val="nil"/>
          <w:left w:val="nil"/>
          <w:bottom w:val="nil"/>
          <w:right w:val="nil"/>
          <w:between w:val="nil"/>
        </w:pBdr>
        <w:spacing w:after="0" w:line="240" w:lineRule="auto"/>
        <w:rPr>
          <w:b/>
          <w:color w:val="000000"/>
          <w:sz w:val="22"/>
          <w:szCs w:val="22"/>
        </w:rPr>
      </w:pPr>
      <w:r w:rsidRPr="00636B92">
        <w:rPr>
          <w:b/>
          <w:color w:val="000000"/>
          <w:sz w:val="22"/>
          <w:szCs w:val="22"/>
        </w:rPr>
        <w:t xml:space="preserve">Administrative Considerations </w:t>
      </w:r>
    </w:p>
    <w:p w:rsidR="007D2C63" w:rsidRPr="00636B92" w:rsidRDefault="007D2C63" w:rsidP="007D2C63">
      <w:pPr>
        <w:numPr>
          <w:ilvl w:val="0"/>
          <w:numId w:val="10"/>
        </w:numPr>
        <w:pBdr>
          <w:top w:val="nil"/>
          <w:left w:val="nil"/>
          <w:bottom w:val="nil"/>
          <w:right w:val="nil"/>
          <w:between w:val="nil"/>
        </w:pBdr>
        <w:spacing w:after="0" w:line="240" w:lineRule="auto"/>
        <w:rPr>
          <w:color w:val="000000"/>
          <w:sz w:val="22"/>
          <w:szCs w:val="22"/>
        </w:rPr>
      </w:pPr>
      <w:r w:rsidRPr="00636B92">
        <w:rPr>
          <w:color w:val="000000"/>
          <w:sz w:val="22"/>
          <w:szCs w:val="22"/>
        </w:rPr>
        <w:t>Contractual aspects such as the necessary water rights</w:t>
      </w:r>
    </w:p>
    <w:p w:rsidR="007D2C63" w:rsidRPr="00636B92" w:rsidRDefault="007D2C63" w:rsidP="007D2C63">
      <w:pPr>
        <w:numPr>
          <w:ilvl w:val="1"/>
          <w:numId w:val="10"/>
        </w:numPr>
        <w:pBdr>
          <w:top w:val="nil"/>
          <w:left w:val="nil"/>
          <w:bottom w:val="nil"/>
          <w:right w:val="nil"/>
          <w:between w:val="nil"/>
        </w:pBdr>
        <w:spacing w:after="0" w:line="240" w:lineRule="auto"/>
        <w:rPr>
          <w:color w:val="000000"/>
          <w:sz w:val="22"/>
          <w:szCs w:val="22"/>
        </w:rPr>
      </w:pPr>
      <w:r w:rsidRPr="00636B92">
        <w:rPr>
          <w:color w:val="000000"/>
          <w:sz w:val="22"/>
          <w:szCs w:val="22"/>
        </w:rPr>
        <w:t xml:space="preserve">State Water Board’s streamlined permit to capture excess flows  </w:t>
      </w:r>
    </w:p>
    <w:p w:rsidR="007D2C63" w:rsidRPr="00636B92" w:rsidRDefault="007D2C63" w:rsidP="007D2C63">
      <w:pPr>
        <w:numPr>
          <w:ilvl w:val="0"/>
          <w:numId w:val="10"/>
        </w:numPr>
        <w:pBdr>
          <w:top w:val="nil"/>
          <w:left w:val="nil"/>
          <w:bottom w:val="nil"/>
          <w:right w:val="nil"/>
          <w:between w:val="nil"/>
        </w:pBdr>
        <w:spacing w:after="0" w:line="240" w:lineRule="auto"/>
        <w:rPr>
          <w:color w:val="000000"/>
          <w:sz w:val="22"/>
          <w:szCs w:val="22"/>
        </w:rPr>
      </w:pPr>
      <w:r w:rsidRPr="00636B92">
        <w:rPr>
          <w:color w:val="000000"/>
          <w:sz w:val="22"/>
          <w:szCs w:val="22"/>
        </w:rPr>
        <w:t xml:space="preserve">Funding mechanism to successfully implement recharge projects </w:t>
      </w:r>
    </w:p>
    <w:p w:rsidR="007D2C63" w:rsidRPr="00636B92" w:rsidRDefault="007D2C63" w:rsidP="007D2C63">
      <w:pPr>
        <w:numPr>
          <w:ilvl w:val="1"/>
          <w:numId w:val="10"/>
        </w:numPr>
        <w:pBdr>
          <w:top w:val="nil"/>
          <w:left w:val="nil"/>
          <w:bottom w:val="nil"/>
          <w:right w:val="nil"/>
          <w:between w:val="nil"/>
        </w:pBdr>
        <w:spacing w:after="0" w:line="240" w:lineRule="auto"/>
        <w:rPr>
          <w:color w:val="000000"/>
          <w:sz w:val="22"/>
          <w:szCs w:val="22"/>
        </w:rPr>
      </w:pPr>
      <w:r w:rsidRPr="00636B92">
        <w:rPr>
          <w:color w:val="000000"/>
          <w:sz w:val="22"/>
          <w:szCs w:val="22"/>
        </w:rPr>
        <w:t>Grant funding, technical assistance, facilitation services, GSA fee authority, etc.</w:t>
      </w:r>
    </w:p>
    <w:p w:rsidR="007D2C63" w:rsidRPr="007D2C63" w:rsidRDefault="007D2C63" w:rsidP="007D2C63">
      <w:pPr>
        <w:pStyle w:val="ListParagraph"/>
        <w:numPr>
          <w:ilvl w:val="1"/>
          <w:numId w:val="10"/>
        </w:numPr>
        <w:spacing w:after="0"/>
        <w:rPr>
          <w:color w:val="000000"/>
          <w:sz w:val="22"/>
          <w:szCs w:val="22"/>
        </w:rPr>
      </w:pPr>
      <w:r w:rsidRPr="007D2C63">
        <w:rPr>
          <w:color w:val="000000"/>
          <w:sz w:val="22"/>
          <w:szCs w:val="22"/>
        </w:rPr>
        <w:t>Funding for local staffing to manage recharge activities</w:t>
      </w:r>
    </w:p>
    <w:p w:rsidR="007F09C3" w:rsidRDefault="00E536AB" w:rsidP="007D2C63">
      <w:pPr>
        <w:spacing w:after="0"/>
        <w:rPr>
          <w:b/>
          <w:color w:val="487B78"/>
          <w:sz w:val="40"/>
          <w:szCs w:val="40"/>
        </w:rPr>
      </w:pPr>
      <w:r>
        <w:rPr>
          <w:b/>
          <w:color w:val="487B78"/>
          <w:sz w:val="40"/>
          <w:szCs w:val="40"/>
        </w:rPr>
        <w:lastRenderedPageBreak/>
        <w:t xml:space="preserve">Comprehensive </w:t>
      </w:r>
      <w:r w:rsidR="00750B95">
        <w:rPr>
          <w:b/>
          <w:color w:val="487B78"/>
          <w:sz w:val="40"/>
          <w:szCs w:val="40"/>
        </w:rPr>
        <w:t xml:space="preserve">Toolbox Approach </w:t>
      </w:r>
    </w:p>
    <w:p w:rsidR="00C42C85" w:rsidRPr="00C42C85" w:rsidRDefault="001538D2" w:rsidP="0039593D">
      <w:pPr>
        <w:pBdr>
          <w:top w:val="nil"/>
          <w:left w:val="nil"/>
          <w:bottom w:val="nil"/>
          <w:right w:val="nil"/>
          <w:between w:val="nil"/>
        </w:pBdr>
        <w:spacing w:after="0" w:line="276" w:lineRule="auto"/>
        <w:rPr>
          <w:bCs/>
          <w:color w:val="000000"/>
          <w:sz w:val="22"/>
          <w:szCs w:val="22"/>
        </w:rPr>
      </w:pPr>
      <w:r w:rsidRPr="00C42C85">
        <w:rPr>
          <w:bCs/>
          <w:color w:val="000000"/>
          <w:sz w:val="22"/>
          <w:szCs w:val="22"/>
        </w:rPr>
        <w:t>With the overall goal to</w:t>
      </w:r>
      <w:r w:rsidR="00E536AB" w:rsidRPr="00C42C85">
        <w:rPr>
          <w:bCs/>
          <w:color w:val="000000"/>
          <w:sz w:val="22"/>
          <w:szCs w:val="22"/>
        </w:rPr>
        <w:t xml:space="preserve"> increase groundwater replenishment activities in </w:t>
      </w:r>
      <w:r w:rsidR="00882B0E" w:rsidRPr="00C42C85">
        <w:rPr>
          <w:bCs/>
          <w:color w:val="000000"/>
          <w:sz w:val="22"/>
          <w:szCs w:val="22"/>
        </w:rPr>
        <w:t>groundwater</w:t>
      </w:r>
      <w:r w:rsidR="00E536AB" w:rsidRPr="00C42C85">
        <w:rPr>
          <w:bCs/>
          <w:color w:val="000000"/>
          <w:sz w:val="22"/>
          <w:szCs w:val="22"/>
        </w:rPr>
        <w:t xml:space="preserve"> basins</w:t>
      </w:r>
      <w:r w:rsidRPr="00C42C85">
        <w:rPr>
          <w:bCs/>
          <w:color w:val="000000"/>
          <w:sz w:val="22"/>
          <w:szCs w:val="22"/>
        </w:rPr>
        <w:t xml:space="preserve"> statewide</w:t>
      </w:r>
      <w:r w:rsidR="00E536AB" w:rsidRPr="00C42C85">
        <w:rPr>
          <w:bCs/>
          <w:color w:val="000000"/>
          <w:sz w:val="22"/>
          <w:szCs w:val="22"/>
        </w:rPr>
        <w:t xml:space="preserve">, water managers need to use </w:t>
      </w:r>
      <w:r w:rsidR="00D33C04" w:rsidRPr="00C42C85">
        <w:rPr>
          <w:bCs/>
          <w:color w:val="000000"/>
          <w:sz w:val="22"/>
          <w:szCs w:val="22"/>
        </w:rPr>
        <w:t>a comprehensive toolbox approach</w:t>
      </w:r>
      <w:r w:rsidR="00E536AB" w:rsidRPr="00C42C85">
        <w:rPr>
          <w:bCs/>
          <w:color w:val="000000"/>
          <w:sz w:val="22"/>
          <w:szCs w:val="22"/>
        </w:rPr>
        <w:t>.</w:t>
      </w:r>
      <w:r w:rsidR="00D33C04" w:rsidRPr="00C42C85">
        <w:rPr>
          <w:bCs/>
          <w:color w:val="000000"/>
          <w:sz w:val="22"/>
          <w:szCs w:val="22"/>
        </w:rPr>
        <w:t xml:space="preserve"> It will take most, if not all of the tools in a </w:t>
      </w:r>
      <w:r w:rsidR="0039593D">
        <w:rPr>
          <w:bCs/>
          <w:color w:val="000000"/>
          <w:sz w:val="22"/>
          <w:szCs w:val="22"/>
        </w:rPr>
        <w:t>water</w:t>
      </w:r>
      <w:r w:rsidR="00D33C04" w:rsidRPr="00C42C85">
        <w:rPr>
          <w:bCs/>
          <w:color w:val="000000"/>
          <w:sz w:val="22"/>
          <w:szCs w:val="22"/>
        </w:rPr>
        <w:t xml:space="preserve"> manager’s toolbox to </w:t>
      </w:r>
      <w:r w:rsidR="007C002F" w:rsidRPr="00C42C85">
        <w:rPr>
          <w:bCs/>
          <w:color w:val="000000"/>
          <w:sz w:val="22"/>
          <w:szCs w:val="22"/>
        </w:rPr>
        <w:t xml:space="preserve">achieve sustainability. GSAs across California have </w:t>
      </w:r>
      <w:r w:rsidR="00D33C04" w:rsidRPr="00C42C85">
        <w:rPr>
          <w:bCs/>
          <w:color w:val="000000"/>
          <w:sz w:val="22"/>
          <w:szCs w:val="22"/>
        </w:rPr>
        <w:t xml:space="preserve">different </w:t>
      </w:r>
      <w:r w:rsidR="007C002F" w:rsidRPr="00C42C85">
        <w:rPr>
          <w:bCs/>
          <w:color w:val="000000"/>
          <w:sz w:val="22"/>
          <w:szCs w:val="22"/>
        </w:rPr>
        <w:t xml:space="preserve">undesirable results impacting their basins and sub-basins. Local water agencies will need </w:t>
      </w:r>
      <w:r w:rsidR="00D33C04" w:rsidRPr="00C42C85">
        <w:rPr>
          <w:bCs/>
          <w:color w:val="000000"/>
          <w:sz w:val="22"/>
          <w:szCs w:val="22"/>
        </w:rPr>
        <w:t xml:space="preserve">to continue to </w:t>
      </w:r>
      <w:r w:rsidR="00882B0E" w:rsidRPr="00C42C85">
        <w:rPr>
          <w:bCs/>
          <w:color w:val="000000"/>
          <w:sz w:val="22"/>
          <w:szCs w:val="22"/>
        </w:rPr>
        <w:t xml:space="preserve">manage their </w:t>
      </w:r>
      <w:r w:rsidR="00D33C04" w:rsidRPr="00C42C85">
        <w:rPr>
          <w:bCs/>
          <w:color w:val="000000"/>
          <w:sz w:val="22"/>
          <w:szCs w:val="22"/>
        </w:rPr>
        <w:t xml:space="preserve">water </w:t>
      </w:r>
      <w:r w:rsidR="00882B0E" w:rsidRPr="00C42C85">
        <w:rPr>
          <w:bCs/>
          <w:color w:val="000000"/>
          <w:sz w:val="22"/>
          <w:szCs w:val="22"/>
        </w:rPr>
        <w:t>supplies creatively and conjunctively to meet supply demands but also reduce dependence on groundwater</w:t>
      </w:r>
      <w:r w:rsidR="007C002F" w:rsidRPr="00C42C85">
        <w:rPr>
          <w:bCs/>
          <w:color w:val="000000"/>
          <w:sz w:val="22"/>
          <w:szCs w:val="22"/>
        </w:rPr>
        <w:t xml:space="preserve"> sources. Below are several </w:t>
      </w:r>
      <w:r w:rsidR="00C42C85" w:rsidRPr="00C42C85">
        <w:rPr>
          <w:bCs/>
          <w:color w:val="000000"/>
          <w:sz w:val="22"/>
          <w:szCs w:val="22"/>
        </w:rPr>
        <w:t xml:space="preserve">resources to serve as tools for water managers when scoping and develop groundwater recharge projects and activities. </w:t>
      </w:r>
    </w:p>
    <w:p w:rsidR="00C42C85" w:rsidRDefault="00DE2BC7" w:rsidP="00C42C85">
      <w:pPr>
        <w:pBdr>
          <w:top w:val="nil"/>
          <w:left w:val="nil"/>
          <w:bottom w:val="nil"/>
          <w:right w:val="nil"/>
          <w:between w:val="nil"/>
        </w:pBdr>
        <w:spacing w:after="0" w:line="240" w:lineRule="auto"/>
        <w:rPr>
          <w:bCs/>
          <w:color w:val="000000"/>
        </w:rPr>
      </w:pPr>
      <w:r>
        <w:rPr>
          <w:b/>
          <w:noProof/>
          <w:color w:val="31849B" w:themeColor="accent5" w:themeShade="BF"/>
          <w:sz w:val="32"/>
        </w:rPr>
        <mc:AlternateContent>
          <mc:Choice Requires="wps">
            <w:drawing>
              <wp:anchor distT="0" distB="0" distL="114300" distR="114300" simplePos="0" relativeHeight="251682816" behindDoc="0" locked="0" layoutInCell="1" allowOverlap="1">
                <wp:simplePos x="0" y="0"/>
                <wp:positionH relativeFrom="column">
                  <wp:posOffset>2486025</wp:posOffset>
                </wp:positionH>
                <wp:positionV relativeFrom="paragraph">
                  <wp:posOffset>26671</wp:posOffset>
                </wp:positionV>
                <wp:extent cx="3419475" cy="35623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3419475" cy="3562350"/>
                        </a:xfrm>
                        <a:prstGeom prst="rect">
                          <a:avLst/>
                        </a:prstGeom>
                        <a:solidFill>
                          <a:schemeClr val="lt1"/>
                        </a:solidFill>
                        <a:ln w="6350">
                          <a:solidFill>
                            <a:prstClr val="black"/>
                          </a:solidFill>
                          <a:prstDash val="lgDash"/>
                        </a:ln>
                      </wps:spPr>
                      <wps:txbx>
                        <w:txbxContent>
                          <w:p w:rsidR="00430B8E" w:rsidRDefault="00430B8E" w:rsidP="002B2541">
                            <w:pPr>
                              <w:jc w:val="center"/>
                            </w:pPr>
                            <w:r>
                              <w:t>[INSERT PICTURE FROM YOLO FROM TEMPORARY PERMITTING]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margin-left:195.75pt;margin-top:2.1pt;width:269.25pt;height:2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MeWgIAAMcEAAAOAAAAZHJzL2Uyb0RvYy54bWysVE1v2zAMvQ/YfxB0X53Pdg3qFFmLDgOK&#10;tkAy9KzIcmxMFjVJid39+j0pTtqlOw27yCL5xI9H0lfXXaPZTjlfk8n58GzAmTKSitpscv59dffp&#10;M2c+CFMITUbl/EV5fj3/+OGqtTM1oop0oRyDE+Nnrc15FYKdZZmXlWqEPyOrDIwluUYEiG6TFU60&#10;8N7obDQYnGctucI6ksp7aG/3Rj5P/stSyfBYll4FpnOO3EI6XTrX8czmV2K2ccJWtezTEP+QRSNq&#10;g6BHV7ciCLZ19TtXTS0deSrDmaQmo7KspUo1oJrh4KSaZSWsSrWAHG+PNPn/51Y+7J4cq4ucj8ac&#10;GdGgRyvVBfaFOgYV+GmtnwG2tACGDnr0+aD3UMayu9I18YuCGOxg+uXIbvQmoRxPhpeTiylnErbx&#10;9Hw0nib+s9fn1vnwVVHD4iXnDu1LrIrdvQ9IBdADJEbzpOvirtY6CXFk1I12bCfQbB1SknjxB0ob&#10;1ub8PIZ+5yG6Pr5fayF/xDJPPUTUrfBVH2YT7z1OG8AjXXta4i106y7Re3GgbE3FC5h0tJ9Fb+Vd&#10;DZf3wocn4TB8IA8LFR5xlJqQLfU3zipyv/6mj3jMBKyctRjmnPufW+EUZ/qbwbRcDieTOP1JmEwv&#10;RhDcW8v6rcVsmxsChUOsrpXpGvFBH66lo+YZe7eIUWESRiJ2zmVwB+Em7JcMmyvVYpFgmHgrwr1Z&#10;WhmdR/4jmavuWTjbtzxgWh7oMPhidtL5PTa+NLTYBirrNBaR6T2vfQOwLalz/WbHdXwrJ9Tr/2f+&#10;GwAA//8DAFBLAwQUAAYACAAAACEAaJQozd0AAAAJAQAADwAAAGRycy9kb3ducmV2LnhtbEyPQU+E&#10;MBSE7yb+h+aZeHPbBSHCUjYbkz0QvYj8gAJvgdi+Etpd8N9bT3qczGTmm+K4Gc1uuLjJkoT9TgBD&#10;6mw/0SCh+Tw/vQBzXlGvtCWU8I0OjuX9XaHy3q70gbfaDyyUkMuVhNH7OefcdSMa5XZ2RgrexS5G&#10;+SCXgfeLWkO50TwSIuVGTRQWRjXj64jdV301EmqTNekJ9Zs4N+821mtVibaS8vFhOx2Aedz8Xxh+&#10;8QM6lIGptVfqHdMS4myfhKiE5whY8LNYhG+thCRNIuBlwf8/KH8AAAD//wMAUEsBAi0AFAAGAAgA&#10;AAAhALaDOJL+AAAA4QEAABMAAAAAAAAAAAAAAAAAAAAAAFtDb250ZW50X1R5cGVzXS54bWxQSwEC&#10;LQAUAAYACAAAACEAOP0h/9YAAACUAQAACwAAAAAAAAAAAAAAAAAvAQAAX3JlbHMvLnJlbHNQSwEC&#10;LQAUAAYACAAAACEA9yhjHloCAADHBAAADgAAAAAAAAAAAAAAAAAuAgAAZHJzL2Uyb0RvYy54bWxQ&#10;SwECLQAUAAYACAAAACEAaJQozd0AAAAJAQAADwAAAAAAAAAAAAAAAAC0BAAAZHJzL2Rvd25yZXYu&#10;eG1sUEsFBgAAAAAEAAQA8wAAAL4FAAAAAA==&#10;" fillcolor="white [3201]" strokeweight=".5pt">
                <v:stroke dashstyle="longDash"/>
                <v:textbox>
                  <w:txbxContent>
                    <w:p w:rsidR="00430B8E" w:rsidRDefault="00430B8E" w:rsidP="002B2541">
                      <w:pPr>
                        <w:jc w:val="center"/>
                      </w:pPr>
                      <w:r>
                        <w:t>[INSERT PICTURE FROM YOLO FROM TEMPORARY PERMITTING]</w:t>
                      </w:r>
                    </w:p>
                  </w:txbxContent>
                </v:textbox>
              </v:shape>
            </w:pict>
          </mc:Fallback>
        </mc:AlternateContent>
      </w:r>
      <w:r w:rsidRPr="00741052">
        <w:rPr>
          <w:b/>
          <w:noProof/>
          <w:color w:val="31849B" w:themeColor="accent5" w:themeShade="BF"/>
          <w:sz w:val="32"/>
        </w:rPr>
        <mc:AlternateContent>
          <mc:Choice Requires="wps">
            <w:drawing>
              <wp:anchor distT="0" distB="0" distL="114300" distR="114300" simplePos="0" relativeHeight="251679744" behindDoc="0" locked="0" layoutInCell="1" allowOverlap="1">
                <wp:simplePos x="0" y="0"/>
                <wp:positionH relativeFrom="column">
                  <wp:posOffset>-19050</wp:posOffset>
                </wp:positionH>
                <wp:positionV relativeFrom="paragraph">
                  <wp:posOffset>26670</wp:posOffset>
                </wp:positionV>
                <wp:extent cx="2266950" cy="3562350"/>
                <wp:effectExtent l="19050" t="19050" r="19050" b="19050"/>
                <wp:wrapSquare wrapText="bothSides"/>
                <wp:docPr id="21" name="Text Box 21"/>
                <wp:cNvGraphicFramePr/>
                <a:graphic xmlns:a="http://schemas.openxmlformats.org/drawingml/2006/main">
                  <a:graphicData uri="http://schemas.microsoft.com/office/word/2010/wordprocessingShape">
                    <wps:wsp>
                      <wps:cNvSpPr txBox="1"/>
                      <wps:spPr>
                        <a:xfrm>
                          <a:off x="0" y="0"/>
                          <a:ext cx="2266950" cy="3562350"/>
                        </a:xfrm>
                        <a:prstGeom prst="rect">
                          <a:avLst/>
                        </a:prstGeom>
                        <a:solidFill>
                          <a:schemeClr val="lt1"/>
                        </a:solidFill>
                        <a:ln w="28575">
                          <a:solidFill>
                            <a:schemeClr val="accent5">
                              <a:lumMod val="75000"/>
                            </a:schemeClr>
                          </a:solidFill>
                        </a:ln>
                      </wps:spPr>
                      <wps:txbx>
                        <w:txbxContent>
                          <w:p w:rsidR="00430B8E" w:rsidRPr="00741052" w:rsidRDefault="00430B8E" w:rsidP="00AC63EE">
                            <w:pPr>
                              <w:pBdr>
                                <w:top w:val="nil"/>
                                <w:left w:val="nil"/>
                                <w:bottom w:val="nil"/>
                                <w:right w:val="nil"/>
                                <w:between w:val="nil"/>
                              </w:pBdr>
                              <w:spacing w:after="120" w:line="240" w:lineRule="auto"/>
                              <w:rPr>
                                <w:b/>
                                <w:color w:val="31849B" w:themeColor="accent5" w:themeShade="BF"/>
                                <w:sz w:val="32"/>
                              </w:rPr>
                            </w:pPr>
                            <w:r w:rsidRPr="00741052">
                              <w:rPr>
                                <w:b/>
                                <w:color w:val="31849B" w:themeColor="accent5" w:themeShade="BF"/>
                                <w:sz w:val="32"/>
                              </w:rPr>
                              <w:t>Temporary Water Right</w:t>
                            </w:r>
                            <w:r>
                              <w:rPr>
                                <w:b/>
                                <w:color w:val="31849B" w:themeColor="accent5" w:themeShade="BF"/>
                                <w:sz w:val="32"/>
                              </w:rPr>
                              <w:t>s</w:t>
                            </w:r>
                            <w:r w:rsidRPr="00741052">
                              <w:rPr>
                                <w:b/>
                                <w:color w:val="31849B" w:themeColor="accent5" w:themeShade="BF"/>
                                <w:sz w:val="32"/>
                              </w:rPr>
                              <w:t xml:space="preserve"> Permit to Capture High Runoff </w:t>
                            </w:r>
                          </w:p>
                          <w:p w:rsidR="00430B8E" w:rsidRPr="00741052" w:rsidRDefault="00430B8E" w:rsidP="00741052">
                            <w:pPr>
                              <w:pBdr>
                                <w:top w:val="nil"/>
                                <w:left w:val="nil"/>
                                <w:bottom w:val="nil"/>
                                <w:right w:val="nil"/>
                                <w:between w:val="nil"/>
                              </w:pBdr>
                              <w:spacing w:after="0" w:line="240" w:lineRule="auto"/>
                              <w:rPr>
                                <w:bCs/>
                                <w:color w:val="000000"/>
                                <w:sz w:val="20"/>
                                <w:szCs w:val="20"/>
                              </w:rPr>
                            </w:pPr>
                            <w:r w:rsidRPr="00741052">
                              <w:rPr>
                                <w:bCs/>
                                <w:color w:val="000000"/>
                                <w:sz w:val="20"/>
                                <w:szCs w:val="20"/>
                              </w:rPr>
                              <w:t xml:space="preserve">On April 6, 2017, former Governor Jerry Brown signed </w:t>
                            </w:r>
                            <w:hyperlink r:id="rId39" w:tgtFrame="_blank" w:history="1">
                              <w:r w:rsidRPr="00741052">
                                <w:rPr>
                                  <w:rStyle w:val="Hyperlink"/>
                                  <w:bCs/>
                                  <w:sz w:val="20"/>
                                  <w:szCs w:val="20"/>
                                </w:rPr>
                                <w:t>Executive Order B-39-17</w:t>
                              </w:r>
                              <w:r w:rsidRPr="00741052">
                                <w:rPr>
                                  <w:rStyle w:val="Hyperlink"/>
                                  <w:bCs/>
                                  <w:vanish/>
                                  <w:sz w:val="20"/>
                                  <w:szCs w:val="20"/>
                                </w:rPr>
                                <w:t>Opens a New Window.</w:t>
                              </w:r>
                            </w:hyperlink>
                            <w:r w:rsidRPr="00741052">
                              <w:rPr>
                                <w:bCs/>
                                <w:color w:val="000000"/>
                                <w:sz w:val="20"/>
                                <w:szCs w:val="20"/>
                              </w:rPr>
                              <w:t>, which directs the State Water Board to prioritize temporary water right permits for projects that enhance the ability of a local or state agency to capture high runoff events for local storage or recharge. The Executive Order also suspends the provisions of the California Environmental Quality Act (CEQA) for State Water Board actions on these types of temporary permits. Prior to Executive order B-39-17, the former Governor issued </w:t>
                            </w:r>
                            <w:hyperlink r:id="rId40" w:tgtFrame="_blank" w:history="1">
                              <w:r w:rsidRPr="00741052">
                                <w:rPr>
                                  <w:rStyle w:val="Hyperlink"/>
                                  <w:bCs/>
                                  <w:sz w:val="20"/>
                                  <w:szCs w:val="20"/>
                                </w:rPr>
                                <w:t>Executive Order B-36-15</w:t>
                              </w:r>
                              <w:r w:rsidRPr="00741052">
                                <w:rPr>
                                  <w:rStyle w:val="Hyperlink"/>
                                  <w:bCs/>
                                  <w:vanish/>
                                  <w:sz w:val="20"/>
                                  <w:szCs w:val="20"/>
                                </w:rPr>
                                <w:t>Opens a New Window.</w:t>
                              </w:r>
                            </w:hyperlink>
                            <w:r w:rsidRPr="00741052">
                              <w:rPr>
                                <w:bCs/>
                                <w:color w:val="000000"/>
                                <w:sz w:val="20"/>
                                <w:szCs w:val="20"/>
                              </w:rPr>
                              <w:t xml:space="preserve"> in November 2015, which contained a similar directive.</w:t>
                            </w:r>
                          </w:p>
                          <w:p w:rsidR="00430B8E" w:rsidRDefault="00430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1.5pt;margin-top:2.1pt;width:178.5pt;height:2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4YAIAANQEAAAOAAAAZHJzL2Uyb0RvYy54bWysVF1P2zAUfZ+0/2D5faQNtJSKFHUgpkkM&#10;kGDi2XUcGsnx9Wy3Cfv1O3aaUmBP015c348c33vuuT2/6BrNtsr5mkzBx0cjzpSRVNbmueA/H6+/&#10;zDjzQZhSaDKq4C/K84vF50/nrZ2rnNakS+UYQIyft7bg6xDsPMu8XKtG+COyyiBYkWtEgOmes9KJ&#10;FuiNzvLRaJq15ErrSCrv4b3qg3yR8KtKyXBXVV4FpguO2kI6XTpX8cwW52L+7IRd13JXhviHKhpR&#10;Gzy6h7oSQbCNqz9ANbV05KkKR5KajKqqlir1gG7Go3fdPKyFVakXkOPtnib//2Dl7fbesboseD7m&#10;zIgGM3pUXWBfqWNwgZ/W+jnSHiwSQwc/5jz4PZyx7a5yTfxFQwxxMP2yZzeiSTjzfDo9myAkETue&#10;TPNjGMDPXj+3zodvihoWLwV3GF9iVWxvfOhTh5T4middl9e11smIklGX2rGtwLB1SEUC/E2WNqxF&#10;KbPJ6SQhvwkm1b1CCCmVCX2e3jQ/qOyhTyej0VD5/pPUxwEaHtYGzshez1K8hW7VJbZnA4MrKl9A&#10;rKNemt7K6xrN3wgf7oWDFkEY9ivc4ag0oXja3Thbk/v9N3/Mh0QQ5ayFtgvuf22EU5zp7wbiORuf&#10;nMRlSMbJ5DSH4Q4jq8OI2TSXBEahD1SXrjE/6OFaOWqesIbL+CpCwki8XfAwXC9Dv3FYY6mWy5QE&#10;+VsRbsyDlRE6TjCO9rF7Es7u5h8gnVsatkDM38mgz41fGlpuAlV10kjkuWd1Rz9WJ01nt+ZxNw/t&#10;lPX6Z7T4AwAA//8DAFBLAwQUAAYACAAAACEAXkuzgt8AAAAIAQAADwAAAGRycy9kb3ducmV2Lnht&#10;bEyPzU7DMBCE70i8g7VI3FqH/FQQ4lQFgag48NPyAG68JFHidRS7bdqnZznBcTSjmW+K5WR7ccDR&#10;t44U3MwjEEiVMy3VCr62z7NbED5oMrp3hApO6GFZXl4UOjfuSJ942IRacAn5XCtoQhhyKX3VoNV+&#10;7gYk9r7daHVgOdbSjPrI5baXcRQtpNUt8UKjB3xssOo2e6tAdlUS3j5W5+51/f5y557OD5hulbq+&#10;mlb3IAJO4S8Mv/iMDiUz7dyejBe9glnCV4KCNAbBdpKlrHcKskUWgywL+f9A+QMAAP//AwBQSwEC&#10;LQAUAAYACAAAACEAtoM4kv4AAADhAQAAEwAAAAAAAAAAAAAAAAAAAAAAW0NvbnRlbnRfVHlwZXNd&#10;LnhtbFBLAQItABQABgAIAAAAIQA4/SH/1gAAAJQBAAALAAAAAAAAAAAAAAAAAC8BAABfcmVscy8u&#10;cmVsc1BLAQItABQABgAIAAAAIQC+mr34YAIAANQEAAAOAAAAAAAAAAAAAAAAAC4CAABkcnMvZTJv&#10;RG9jLnhtbFBLAQItABQABgAIAAAAIQBeS7OC3wAAAAgBAAAPAAAAAAAAAAAAAAAAALoEAABkcnMv&#10;ZG93bnJldi54bWxQSwUGAAAAAAQABADzAAAAxgUAAAAA&#10;" fillcolor="white [3201]" strokecolor="#31849b [2408]" strokeweight="2.25pt">
                <v:textbox>
                  <w:txbxContent>
                    <w:p w:rsidR="00430B8E" w:rsidRPr="00741052" w:rsidRDefault="00430B8E" w:rsidP="00AC63EE">
                      <w:pPr>
                        <w:pBdr>
                          <w:top w:val="nil"/>
                          <w:left w:val="nil"/>
                          <w:bottom w:val="nil"/>
                          <w:right w:val="nil"/>
                          <w:between w:val="nil"/>
                        </w:pBdr>
                        <w:spacing w:after="120" w:line="240" w:lineRule="auto"/>
                        <w:rPr>
                          <w:b/>
                          <w:color w:val="31849B" w:themeColor="accent5" w:themeShade="BF"/>
                          <w:sz w:val="32"/>
                        </w:rPr>
                      </w:pPr>
                      <w:r w:rsidRPr="00741052">
                        <w:rPr>
                          <w:b/>
                          <w:color w:val="31849B" w:themeColor="accent5" w:themeShade="BF"/>
                          <w:sz w:val="32"/>
                        </w:rPr>
                        <w:t>Temporary Water Right</w:t>
                      </w:r>
                      <w:r>
                        <w:rPr>
                          <w:b/>
                          <w:color w:val="31849B" w:themeColor="accent5" w:themeShade="BF"/>
                          <w:sz w:val="32"/>
                        </w:rPr>
                        <w:t>s</w:t>
                      </w:r>
                      <w:r w:rsidRPr="00741052">
                        <w:rPr>
                          <w:b/>
                          <w:color w:val="31849B" w:themeColor="accent5" w:themeShade="BF"/>
                          <w:sz w:val="32"/>
                        </w:rPr>
                        <w:t xml:space="preserve"> Permit to Capture High Runoff </w:t>
                      </w:r>
                    </w:p>
                    <w:p w:rsidR="00430B8E" w:rsidRPr="00741052" w:rsidRDefault="00430B8E" w:rsidP="00741052">
                      <w:pPr>
                        <w:pBdr>
                          <w:top w:val="nil"/>
                          <w:left w:val="nil"/>
                          <w:bottom w:val="nil"/>
                          <w:right w:val="nil"/>
                          <w:between w:val="nil"/>
                        </w:pBdr>
                        <w:spacing w:after="0" w:line="240" w:lineRule="auto"/>
                        <w:rPr>
                          <w:bCs/>
                          <w:color w:val="000000"/>
                          <w:sz w:val="20"/>
                          <w:szCs w:val="20"/>
                        </w:rPr>
                      </w:pPr>
                      <w:r w:rsidRPr="00741052">
                        <w:rPr>
                          <w:bCs/>
                          <w:color w:val="000000"/>
                          <w:sz w:val="20"/>
                          <w:szCs w:val="20"/>
                        </w:rPr>
                        <w:t xml:space="preserve">On April 6, 2017, former Governor Jerry Brown signed </w:t>
                      </w:r>
                      <w:hyperlink r:id="rId41" w:tgtFrame="_blank" w:history="1">
                        <w:r w:rsidRPr="00741052">
                          <w:rPr>
                            <w:rStyle w:val="Hyperlink"/>
                            <w:bCs/>
                            <w:sz w:val="20"/>
                            <w:szCs w:val="20"/>
                          </w:rPr>
                          <w:t>Executive Order B-39-17</w:t>
                        </w:r>
                        <w:r w:rsidRPr="00741052">
                          <w:rPr>
                            <w:rStyle w:val="Hyperlink"/>
                            <w:bCs/>
                            <w:vanish/>
                            <w:sz w:val="20"/>
                            <w:szCs w:val="20"/>
                          </w:rPr>
                          <w:t>Opens a New Window.</w:t>
                        </w:r>
                      </w:hyperlink>
                      <w:r w:rsidRPr="00741052">
                        <w:rPr>
                          <w:bCs/>
                          <w:color w:val="000000"/>
                          <w:sz w:val="20"/>
                          <w:szCs w:val="20"/>
                        </w:rPr>
                        <w:t>, which directs the State Water Board to prioritize temporary water right permits for projects that enhance the ability of a local or state agency to capture high runoff events for local storage or recharge. The Executive Order also suspends the provisions of the California Environmental Quality Act (CEQA) for State Water Board actions on these types of temporary permits. Prior to Executive order B-39-17, the former Governor issued </w:t>
                      </w:r>
                      <w:hyperlink r:id="rId42" w:tgtFrame="_blank" w:history="1">
                        <w:r w:rsidRPr="00741052">
                          <w:rPr>
                            <w:rStyle w:val="Hyperlink"/>
                            <w:bCs/>
                            <w:sz w:val="20"/>
                            <w:szCs w:val="20"/>
                          </w:rPr>
                          <w:t>Executive Order B-36-15</w:t>
                        </w:r>
                        <w:r w:rsidRPr="00741052">
                          <w:rPr>
                            <w:rStyle w:val="Hyperlink"/>
                            <w:bCs/>
                            <w:vanish/>
                            <w:sz w:val="20"/>
                            <w:szCs w:val="20"/>
                          </w:rPr>
                          <w:t>Opens a New Window.</w:t>
                        </w:r>
                      </w:hyperlink>
                      <w:r w:rsidRPr="00741052">
                        <w:rPr>
                          <w:bCs/>
                          <w:color w:val="000000"/>
                          <w:sz w:val="20"/>
                          <w:szCs w:val="20"/>
                        </w:rPr>
                        <w:t xml:space="preserve"> in November 2015, which contained a similar directive.</w:t>
                      </w:r>
                    </w:p>
                    <w:p w:rsidR="00430B8E" w:rsidRDefault="00430B8E"/>
                  </w:txbxContent>
                </v:textbox>
                <w10:wrap type="square"/>
              </v:shape>
            </w:pict>
          </mc:Fallback>
        </mc:AlternateContent>
      </w:r>
    </w:p>
    <w:p w:rsidR="00624867" w:rsidRDefault="00624867" w:rsidP="00C42C85">
      <w:pPr>
        <w:pBdr>
          <w:top w:val="nil"/>
          <w:left w:val="nil"/>
          <w:bottom w:val="nil"/>
          <w:right w:val="nil"/>
          <w:between w:val="nil"/>
        </w:pBdr>
        <w:spacing w:after="0" w:line="240" w:lineRule="auto"/>
        <w:rPr>
          <w:b/>
          <w:color w:val="000000"/>
        </w:rPr>
      </w:pPr>
    </w:p>
    <w:p w:rsidR="001D41D9" w:rsidRDefault="001D41D9" w:rsidP="00C42C85">
      <w:pPr>
        <w:pBdr>
          <w:top w:val="nil"/>
          <w:left w:val="nil"/>
          <w:bottom w:val="nil"/>
          <w:right w:val="nil"/>
          <w:between w:val="nil"/>
        </w:pBdr>
        <w:spacing w:after="0" w:line="240" w:lineRule="auto"/>
        <w:rPr>
          <w:b/>
          <w:color w:val="31849B" w:themeColor="accent5" w:themeShade="BF"/>
          <w:sz w:val="32"/>
        </w:rPr>
      </w:pPr>
    </w:p>
    <w:p w:rsidR="001D41D9" w:rsidRDefault="001D41D9" w:rsidP="00C42C85">
      <w:pPr>
        <w:pBdr>
          <w:top w:val="nil"/>
          <w:left w:val="nil"/>
          <w:bottom w:val="nil"/>
          <w:right w:val="nil"/>
          <w:between w:val="nil"/>
        </w:pBdr>
        <w:spacing w:after="0" w:line="240" w:lineRule="auto"/>
        <w:rPr>
          <w:b/>
          <w:color w:val="31849B" w:themeColor="accent5" w:themeShade="BF"/>
          <w:sz w:val="32"/>
        </w:rPr>
      </w:pPr>
    </w:p>
    <w:p w:rsidR="001D41D9" w:rsidRDefault="001D41D9" w:rsidP="00C42C85">
      <w:pPr>
        <w:pBdr>
          <w:top w:val="nil"/>
          <w:left w:val="nil"/>
          <w:bottom w:val="nil"/>
          <w:right w:val="nil"/>
          <w:between w:val="nil"/>
        </w:pBdr>
        <w:spacing w:after="0" w:line="240" w:lineRule="auto"/>
        <w:rPr>
          <w:b/>
          <w:color w:val="31849B" w:themeColor="accent5" w:themeShade="BF"/>
          <w:sz w:val="32"/>
        </w:rPr>
      </w:pPr>
    </w:p>
    <w:p w:rsidR="001D41D9" w:rsidRDefault="001D41D9" w:rsidP="00C42C85">
      <w:pPr>
        <w:pBdr>
          <w:top w:val="nil"/>
          <w:left w:val="nil"/>
          <w:bottom w:val="nil"/>
          <w:right w:val="nil"/>
          <w:between w:val="nil"/>
        </w:pBdr>
        <w:spacing w:after="0" w:line="240" w:lineRule="auto"/>
        <w:rPr>
          <w:b/>
          <w:color w:val="31849B" w:themeColor="accent5" w:themeShade="BF"/>
          <w:sz w:val="32"/>
        </w:rPr>
      </w:pPr>
    </w:p>
    <w:p w:rsidR="001D41D9" w:rsidRDefault="001D41D9" w:rsidP="00C42C85">
      <w:pPr>
        <w:pBdr>
          <w:top w:val="nil"/>
          <w:left w:val="nil"/>
          <w:bottom w:val="nil"/>
          <w:right w:val="nil"/>
          <w:between w:val="nil"/>
        </w:pBdr>
        <w:spacing w:after="0" w:line="240" w:lineRule="auto"/>
        <w:rPr>
          <w:b/>
          <w:color w:val="31849B" w:themeColor="accent5" w:themeShade="BF"/>
          <w:sz w:val="32"/>
        </w:rPr>
      </w:pPr>
    </w:p>
    <w:p w:rsidR="001D41D9" w:rsidRDefault="001D41D9" w:rsidP="00C42C85">
      <w:pPr>
        <w:pBdr>
          <w:top w:val="nil"/>
          <w:left w:val="nil"/>
          <w:bottom w:val="nil"/>
          <w:right w:val="nil"/>
          <w:between w:val="nil"/>
        </w:pBdr>
        <w:spacing w:after="0" w:line="240" w:lineRule="auto"/>
        <w:rPr>
          <w:b/>
          <w:color w:val="31849B" w:themeColor="accent5" w:themeShade="BF"/>
          <w:sz w:val="32"/>
        </w:rPr>
      </w:pPr>
    </w:p>
    <w:p w:rsidR="001D41D9" w:rsidRDefault="001D41D9" w:rsidP="00C42C85">
      <w:pPr>
        <w:pBdr>
          <w:top w:val="nil"/>
          <w:left w:val="nil"/>
          <w:bottom w:val="nil"/>
          <w:right w:val="nil"/>
          <w:between w:val="nil"/>
        </w:pBdr>
        <w:spacing w:after="0" w:line="240" w:lineRule="auto"/>
        <w:rPr>
          <w:b/>
          <w:color w:val="31849B" w:themeColor="accent5" w:themeShade="BF"/>
          <w:sz w:val="32"/>
        </w:rPr>
      </w:pPr>
    </w:p>
    <w:p w:rsidR="001D41D9" w:rsidRDefault="001D41D9" w:rsidP="00C42C85">
      <w:pPr>
        <w:pBdr>
          <w:top w:val="nil"/>
          <w:left w:val="nil"/>
          <w:bottom w:val="nil"/>
          <w:right w:val="nil"/>
          <w:between w:val="nil"/>
        </w:pBdr>
        <w:spacing w:after="0" w:line="240" w:lineRule="auto"/>
        <w:rPr>
          <w:b/>
          <w:color w:val="31849B" w:themeColor="accent5" w:themeShade="BF"/>
          <w:sz w:val="32"/>
        </w:rPr>
      </w:pPr>
    </w:p>
    <w:p w:rsidR="001D41D9" w:rsidRDefault="001D41D9" w:rsidP="00C42C85">
      <w:pPr>
        <w:pBdr>
          <w:top w:val="nil"/>
          <w:left w:val="nil"/>
          <w:bottom w:val="nil"/>
          <w:right w:val="nil"/>
          <w:between w:val="nil"/>
        </w:pBdr>
        <w:spacing w:after="0" w:line="240" w:lineRule="auto"/>
        <w:rPr>
          <w:b/>
          <w:color w:val="31849B" w:themeColor="accent5" w:themeShade="BF"/>
          <w:sz w:val="32"/>
        </w:rPr>
      </w:pPr>
    </w:p>
    <w:p w:rsidR="001D41D9" w:rsidRDefault="001D41D9" w:rsidP="00C42C85">
      <w:pPr>
        <w:pBdr>
          <w:top w:val="nil"/>
          <w:left w:val="nil"/>
          <w:bottom w:val="nil"/>
          <w:right w:val="nil"/>
          <w:between w:val="nil"/>
        </w:pBdr>
        <w:spacing w:after="0" w:line="240" w:lineRule="auto"/>
        <w:rPr>
          <w:b/>
          <w:color w:val="31849B" w:themeColor="accent5" w:themeShade="BF"/>
          <w:sz w:val="32"/>
        </w:rPr>
      </w:pPr>
    </w:p>
    <w:p w:rsidR="001D41D9" w:rsidRDefault="001D41D9" w:rsidP="00C42C85">
      <w:pPr>
        <w:pBdr>
          <w:top w:val="nil"/>
          <w:left w:val="nil"/>
          <w:bottom w:val="nil"/>
          <w:right w:val="nil"/>
          <w:between w:val="nil"/>
        </w:pBdr>
        <w:spacing w:after="0" w:line="240" w:lineRule="auto"/>
        <w:rPr>
          <w:b/>
          <w:color w:val="31849B" w:themeColor="accent5" w:themeShade="BF"/>
          <w:sz w:val="32"/>
        </w:rPr>
      </w:pPr>
    </w:p>
    <w:p w:rsidR="001D41D9" w:rsidRDefault="001D41D9" w:rsidP="00C42C85">
      <w:pPr>
        <w:pBdr>
          <w:top w:val="nil"/>
          <w:left w:val="nil"/>
          <w:bottom w:val="nil"/>
          <w:right w:val="nil"/>
          <w:between w:val="nil"/>
        </w:pBdr>
        <w:spacing w:after="0" w:line="240" w:lineRule="auto"/>
        <w:rPr>
          <w:b/>
          <w:color w:val="31849B" w:themeColor="accent5" w:themeShade="BF"/>
          <w:sz w:val="32"/>
        </w:rPr>
      </w:pPr>
    </w:p>
    <w:p w:rsidR="001D41D9" w:rsidRDefault="001D41D9" w:rsidP="00C42C85">
      <w:pPr>
        <w:pBdr>
          <w:top w:val="nil"/>
          <w:left w:val="nil"/>
          <w:bottom w:val="nil"/>
          <w:right w:val="nil"/>
          <w:between w:val="nil"/>
        </w:pBdr>
        <w:spacing w:after="0" w:line="240" w:lineRule="auto"/>
        <w:rPr>
          <w:b/>
          <w:color w:val="31849B" w:themeColor="accent5" w:themeShade="BF"/>
          <w:sz w:val="32"/>
        </w:rPr>
      </w:pPr>
    </w:p>
    <w:p w:rsidR="001D41D9" w:rsidRDefault="001D41D9" w:rsidP="00C42C85">
      <w:pPr>
        <w:pBdr>
          <w:top w:val="nil"/>
          <w:left w:val="nil"/>
          <w:bottom w:val="nil"/>
          <w:right w:val="nil"/>
          <w:between w:val="nil"/>
        </w:pBdr>
        <w:spacing w:after="0" w:line="240" w:lineRule="auto"/>
        <w:rPr>
          <w:b/>
          <w:color w:val="31849B" w:themeColor="accent5" w:themeShade="BF"/>
          <w:sz w:val="32"/>
        </w:rPr>
      </w:pPr>
    </w:p>
    <w:p w:rsidR="00C42C85" w:rsidRPr="00741052" w:rsidRDefault="00C42C85" w:rsidP="00C42C85">
      <w:pPr>
        <w:pBdr>
          <w:top w:val="nil"/>
          <w:left w:val="nil"/>
          <w:bottom w:val="nil"/>
          <w:right w:val="nil"/>
          <w:between w:val="nil"/>
        </w:pBdr>
        <w:spacing w:after="0" w:line="240" w:lineRule="auto"/>
        <w:rPr>
          <w:b/>
          <w:color w:val="31849B" w:themeColor="accent5" w:themeShade="BF"/>
          <w:sz w:val="32"/>
        </w:rPr>
      </w:pPr>
      <w:r w:rsidRPr="00741052">
        <w:rPr>
          <w:b/>
          <w:color w:val="31849B" w:themeColor="accent5" w:themeShade="BF"/>
          <w:sz w:val="32"/>
        </w:rPr>
        <w:t>Proposed Streamlined Water Right</w:t>
      </w:r>
      <w:r w:rsidR="00AC63EE">
        <w:rPr>
          <w:b/>
          <w:color w:val="31849B" w:themeColor="accent5" w:themeShade="BF"/>
          <w:sz w:val="32"/>
        </w:rPr>
        <w:t>s</w:t>
      </w:r>
      <w:r w:rsidRPr="00741052">
        <w:rPr>
          <w:b/>
          <w:color w:val="31849B" w:themeColor="accent5" w:themeShade="BF"/>
          <w:sz w:val="32"/>
        </w:rPr>
        <w:t xml:space="preserve"> Permit for Groundwater Recharge</w:t>
      </w:r>
    </w:p>
    <w:p w:rsidR="00C42C85" w:rsidRPr="00015DA5" w:rsidRDefault="00C42C85" w:rsidP="00DE2BC7">
      <w:pPr>
        <w:pBdr>
          <w:top w:val="nil"/>
          <w:left w:val="nil"/>
          <w:bottom w:val="nil"/>
          <w:right w:val="nil"/>
          <w:between w:val="nil"/>
        </w:pBdr>
        <w:spacing w:after="0" w:line="276" w:lineRule="auto"/>
        <w:rPr>
          <w:bCs/>
          <w:color w:val="000000"/>
          <w:sz w:val="22"/>
          <w:szCs w:val="22"/>
        </w:rPr>
      </w:pPr>
      <w:r w:rsidRPr="00C42C85">
        <w:rPr>
          <w:bCs/>
          <w:color w:val="000000"/>
          <w:sz w:val="22"/>
          <w:szCs w:val="22"/>
        </w:rPr>
        <w:t xml:space="preserve">Over the last </w:t>
      </w:r>
      <w:r>
        <w:rPr>
          <w:bCs/>
          <w:color w:val="000000"/>
          <w:sz w:val="22"/>
          <w:szCs w:val="22"/>
        </w:rPr>
        <w:t>several years</w:t>
      </w:r>
      <w:r w:rsidRPr="00C42C85">
        <w:rPr>
          <w:bCs/>
          <w:color w:val="000000"/>
          <w:sz w:val="22"/>
          <w:szCs w:val="22"/>
        </w:rPr>
        <w:t xml:space="preserve">, </w:t>
      </w:r>
      <w:r>
        <w:rPr>
          <w:bCs/>
          <w:color w:val="000000"/>
          <w:sz w:val="22"/>
          <w:szCs w:val="22"/>
        </w:rPr>
        <w:t xml:space="preserve">the </w:t>
      </w:r>
      <w:r w:rsidRPr="00C42C85">
        <w:rPr>
          <w:bCs/>
          <w:color w:val="000000"/>
          <w:sz w:val="22"/>
          <w:szCs w:val="22"/>
        </w:rPr>
        <w:t xml:space="preserve">State Water Board has been developing additional </w:t>
      </w:r>
      <w:r w:rsidR="00DE2BC7">
        <w:rPr>
          <w:bCs/>
          <w:color w:val="000000"/>
          <w:sz w:val="22"/>
          <w:szCs w:val="22"/>
        </w:rPr>
        <w:t xml:space="preserve">administrative </w:t>
      </w:r>
      <w:r w:rsidRPr="00C42C85">
        <w:rPr>
          <w:bCs/>
          <w:color w:val="000000"/>
          <w:sz w:val="22"/>
          <w:szCs w:val="22"/>
        </w:rPr>
        <w:t>information on the water rights aspect of capturing surface water to recharge groundwater basins.</w:t>
      </w:r>
      <w:r w:rsidRPr="00015DA5">
        <w:rPr>
          <w:bCs/>
          <w:color w:val="000000"/>
          <w:sz w:val="22"/>
          <w:szCs w:val="22"/>
        </w:rPr>
        <w:t xml:space="preserve"> State Water Board staff are in the process of developing guidance that proposes an approach for the streamlined processing of “standard” water rights applications to divert and capture high flows to underground recharge. The proposed approach under development will not change </w:t>
      </w:r>
      <w:r w:rsidRPr="00C42C85">
        <w:rPr>
          <w:bCs/>
          <w:color w:val="000000"/>
          <w:sz w:val="22"/>
          <w:szCs w:val="22"/>
        </w:rPr>
        <w:t>any</w:t>
      </w:r>
      <w:r w:rsidRPr="00015DA5">
        <w:rPr>
          <w:bCs/>
          <w:color w:val="000000"/>
          <w:sz w:val="22"/>
          <w:szCs w:val="22"/>
        </w:rPr>
        <w:t xml:space="preserve"> existing laws or regulations and will focus primarily on the water availability analysis aspect of application processing. The types of projects intended to be covered would focus on an applicant who is a GSA or local agency for projects consisting of diversions during periods of high flows (to be defined in the guidance) between December 1 and March 31. </w:t>
      </w:r>
      <w:r w:rsidR="001D41D9">
        <w:rPr>
          <w:bCs/>
          <w:color w:val="000000"/>
          <w:sz w:val="22"/>
          <w:szCs w:val="22"/>
        </w:rPr>
        <w:t xml:space="preserve">Final State Water Board guidance is anticipated to be released by summer 2019. More information can be found at their </w:t>
      </w:r>
      <w:hyperlink r:id="rId43" w:history="1">
        <w:r w:rsidR="001D41D9" w:rsidRPr="001D41D9">
          <w:rPr>
            <w:rStyle w:val="Hyperlink"/>
            <w:bCs/>
            <w:sz w:val="22"/>
            <w:szCs w:val="22"/>
          </w:rPr>
          <w:t>Water Rights for Groundwater Recharge webpage</w:t>
        </w:r>
      </w:hyperlink>
      <w:r w:rsidR="001D41D9">
        <w:rPr>
          <w:bCs/>
          <w:color w:val="000000"/>
          <w:sz w:val="22"/>
          <w:szCs w:val="22"/>
        </w:rPr>
        <w:t>.</w:t>
      </w:r>
    </w:p>
    <w:p w:rsidR="002B2541" w:rsidRDefault="002B2541" w:rsidP="00DE2BC7">
      <w:pPr>
        <w:pBdr>
          <w:top w:val="nil"/>
          <w:left w:val="nil"/>
          <w:bottom w:val="nil"/>
          <w:right w:val="nil"/>
          <w:between w:val="nil"/>
        </w:pBdr>
        <w:spacing w:after="0" w:line="240" w:lineRule="auto"/>
        <w:rPr>
          <w:b/>
          <w:color w:val="31849B" w:themeColor="accent5" w:themeShade="BF"/>
          <w:sz w:val="32"/>
        </w:rPr>
      </w:pPr>
    </w:p>
    <w:p w:rsidR="002B2541" w:rsidRDefault="002B2541" w:rsidP="002B2541">
      <w:pPr>
        <w:pBdr>
          <w:top w:val="nil"/>
          <w:left w:val="nil"/>
          <w:bottom w:val="nil"/>
          <w:right w:val="nil"/>
          <w:between w:val="nil"/>
        </w:pBdr>
        <w:spacing w:after="0" w:line="240" w:lineRule="auto"/>
        <w:jc w:val="center"/>
        <w:rPr>
          <w:b/>
          <w:color w:val="31849B" w:themeColor="accent5" w:themeShade="BF"/>
          <w:sz w:val="32"/>
        </w:rPr>
      </w:pPr>
      <w:r w:rsidRPr="002B2541">
        <w:rPr>
          <w:bCs/>
          <w:noProof/>
          <w:sz w:val="12"/>
          <w:szCs w:val="12"/>
        </w:rPr>
        <w:lastRenderedPageBreak/>
        <w:drawing>
          <wp:anchor distT="0" distB="0" distL="114300" distR="114300" simplePos="0" relativeHeight="251677696" behindDoc="0" locked="0" layoutInCell="1" allowOverlap="1">
            <wp:simplePos x="0" y="0"/>
            <wp:positionH relativeFrom="column">
              <wp:posOffset>2183765</wp:posOffset>
            </wp:positionH>
            <wp:positionV relativeFrom="paragraph">
              <wp:posOffset>381635</wp:posOffset>
            </wp:positionV>
            <wp:extent cx="3950335" cy="57454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950335" cy="5745480"/>
                    </a:xfrm>
                    <a:prstGeom prst="rect">
                      <a:avLst/>
                    </a:prstGeom>
                  </pic:spPr>
                </pic:pic>
              </a:graphicData>
            </a:graphic>
            <wp14:sizeRelH relativeFrom="page">
              <wp14:pctWidth>0</wp14:pctWidth>
            </wp14:sizeRelH>
            <wp14:sizeRelV relativeFrom="page">
              <wp14:pctHeight>0</wp14:pctHeight>
            </wp14:sizeRelV>
          </wp:anchor>
        </w:drawing>
      </w:r>
      <w:r w:rsidRPr="002B2541">
        <w:rPr>
          <w:bCs/>
          <w:noProof/>
          <w:sz w:val="20"/>
          <w:szCs w:val="12"/>
        </w:rPr>
        <mc:AlternateContent>
          <mc:Choice Requires="wps">
            <w:drawing>
              <wp:anchor distT="0" distB="0" distL="114300" distR="114300" simplePos="0" relativeHeight="251681792" behindDoc="0" locked="0" layoutInCell="1" allowOverlap="1" wp14:anchorId="0E3D4A19" wp14:editId="60504BA4">
                <wp:simplePos x="0" y="0"/>
                <wp:positionH relativeFrom="column">
                  <wp:posOffset>33655</wp:posOffset>
                </wp:positionH>
                <wp:positionV relativeFrom="paragraph">
                  <wp:posOffset>19050</wp:posOffset>
                </wp:positionV>
                <wp:extent cx="2000250" cy="2510155"/>
                <wp:effectExtent l="19050" t="19050" r="19050" b="23495"/>
                <wp:wrapSquare wrapText="bothSides"/>
                <wp:docPr id="22" name="Text Box 22"/>
                <wp:cNvGraphicFramePr/>
                <a:graphic xmlns:a="http://schemas.openxmlformats.org/drawingml/2006/main">
                  <a:graphicData uri="http://schemas.microsoft.com/office/word/2010/wordprocessingShape">
                    <wps:wsp>
                      <wps:cNvSpPr txBox="1"/>
                      <wps:spPr>
                        <a:xfrm>
                          <a:off x="0" y="0"/>
                          <a:ext cx="2000250" cy="2510155"/>
                        </a:xfrm>
                        <a:prstGeom prst="rect">
                          <a:avLst/>
                        </a:prstGeom>
                        <a:noFill/>
                        <a:ln w="28575">
                          <a:solidFill>
                            <a:schemeClr val="accent5">
                              <a:lumMod val="75000"/>
                            </a:schemeClr>
                          </a:solidFill>
                        </a:ln>
                      </wps:spPr>
                      <wps:txbx>
                        <w:txbxContent>
                          <w:p w:rsidR="00430B8E" w:rsidRPr="00741052" w:rsidRDefault="00430B8E" w:rsidP="004D7BCD">
                            <w:pPr>
                              <w:pBdr>
                                <w:top w:val="nil"/>
                                <w:left w:val="nil"/>
                                <w:bottom w:val="nil"/>
                                <w:right w:val="nil"/>
                                <w:between w:val="nil"/>
                              </w:pBdr>
                              <w:spacing w:after="0" w:line="240" w:lineRule="auto"/>
                              <w:rPr>
                                <w:b/>
                                <w:color w:val="31849B" w:themeColor="accent5" w:themeShade="BF"/>
                                <w:sz w:val="32"/>
                              </w:rPr>
                            </w:pPr>
                            <w:r>
                              <w:rPr>
                                <w:b/>
                                <w:color w:val="31849B" w:themeColor="accent5" w:themeShade="BF"/>
                                <w:sz w:val="32"/>
                              </w:rPr>
                              <w:t>Fact Sheets</w:t>
                            </w:r>
                          </w:p>
                          <w:p w:rsidR="00430B8E" w:rsidRPr="001D41D9" w:rsidRDefault="00430B8E" w:rsidP="001D41D9">
                            <w:pPr>
                              <w:spacing w:after="0"/>
                              <w:rPr>
                                <w:bCs/>
                                <w:color w:val="000000"/>
                                <w:sz w:val="20"/>
                                <w:szCs w:val="20"/>
                              </w:rPr>
                            </w:pPr>
                            <w:r w:rsidRPr="001D41D9">
                              <w:rPr>
                                <w:bCs/>
                                <w:color w:val="000000"/>
                                <w:sz w:val="20"/>
                                <w:szCs w:val="20"/>
                              </w:rPr>
                              <w:t>As helpful resources prior to the release of the streamlined permit guidance, the State Water Board developed several fact sheets</w:t>
                            </w:r>
                            <w:r>
                              <w:rPr>
                                <w:bCs/>
                                <w:color w:val="000000"/>
                                <w:sz w:val="20"/>
                                <w:szCs w:val="20"/>
                              </w:rPr>
                              <w:t xml:space="preserve"> related to groundwater recharge</w:t>
                            </w:r>
                            <w:r w:rsidRPr="001D41D9">
                              <w:rPr>
                                <w:bCs/>
                                <w:color w:val="000000"/>
                                <w:sz w:val="20"/>
                                <w:szCs w:val="20"/>
                              </w:rPr>
                              <w:t xml:space="preserve">: </w:t>
                            </w:r>
                          </w:p>
                          <w:p w:rsidR="00430B8E" w:rsidRPr="001D41D9" w:rsidRDefault="006D632C" w:rsidP="001D41D9">
                            <w:pPr>
                              <w:numPr>
                                <w:ilvl w:val="0"/>
                                <w:numId w:val="15"/>
                              </w:numPr>
                              <w:spacing w:after="0"/>
                              <w:rPr>
                                <w:bCs/>
                                <w:color w:val="000000"/>
                                <w:sz w:val="20"/>
                                <w:szCs w:val="20"/>
                              </w:rPr>
                            </w:pPr>
                            <w:hyperlink r:id="rId45" w:history="1">
                              <w:r w:rsidR="00430B8E" w:rsidRPr="001D41D9">
                                <w:rPr>
                                  <w:rStyle w:val="Hyperlink"/>
                                  <w:bCs/>
                                  <w:sz w:val="20"/>
                                  <w:szCs w:val="20"/>
                                </w:rPr>
                                <w:t>Purposes of Use for Underground Storage Projects</w:t>
                              </w:r>
                            </w:hyperlink>
                          </w:p>
                          <w:p w:rsidR="00430B8E" w:rsidRPr="001D41D9" w:rsidRDefault="006D632C" w:rsidP="001D41D9">
                            <w:pPr>
                              <w:numPr>
                                <w:ilvl w:val="0"/>
                                <w:numId w:val="15"/>
                              </w:numPr>
                              <w:spacing w:after="0"/>
                              <w:rPr>
                                <w:bCs/>
                                <w:color w:val="000000"/>
                                <w:sz w:val="20"/>
                                <w:szCs w:val="20"/>
                              </w:rPr>
                            </w:pPr>
                            <w:hyperlink r:id="rId46" w:history="1">
                              <w:r w:rsidR="00430B8E" w:rsidRPr="001D41D9">
                                <w:rPr>
                                  <w:rStyle w:val="Hyperlink"/>
                                  <w:bCs/>
                                  <w:sz w:val="20"/>
                                  <w:szCs w:val="20"/>
                                </w:rPr>
                                <w:t>Flood Control, Groundwater Recharge, and Water Rights</w:t>
                              </w:r>
                            </w:hyperlink>
                          </w:p>
                          <w:p w:rsidR="00430B8E" w:rsidRDefault="00430B8E" w:rsidP="001D4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D4A19" id="Text Box 22" o:spid="_x0000_s1035" type="#_x0000_t202" style="position:absolute;left:0;text-align:left;margin-left:2.65pt;margin-top:1.5pt;width:157.5pt;height:19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t7VgIAAKwEAAAOAAAAZHJzL2Uyb0RvYy54bWysVMFu2zAMvQ/YPwi6r06Mem2DOkXWosOA&#10;ri2QDj0rstwYkERNUmJ3X78nOUmDbqdhF4UinynyPTKXV4PRbKt86MjWfHoy4UxZSU1nX2r+4+n2&#10;0zlnIQrbCE1W1fxVBX41//jhsnczVdKadKM8QxIbZr2r+TpGNyuKINfKiHBCTlkEW/JGRFz9S9F4&#10;0SO70UU5mXwuevKN8yRVCPDejEE+z/nbVsn40LZBRaZrjtpiPn0+V+ks5pdi9uKFW3dyV4b4hyqM&#10;6CwePaS6EVGwje/+SGU66SlQG08kmYLatpMq94BuppN33SzXwqncC8gJ7kBT+H9p5f320bOuqXlZ&#10;cmaFgUZPaojsCw0MLvDTuzADbOkAjAP80HnvD3CmtofWm/SLhhjiYPr1wG7KJuGEXJOyQkgiVlbT&#10;ybSqUp7i7XPnQ/yqyLBk1NxDvsyq2N6FOEL3kPSapdtO6yyhtqxH1vPqrMpfBNJdk6IJl6dJXWvP&#10;tgJzIKRUNo44vTHfqRn9ZxUq3FV0+CTXd5QN1WoLZ2Jl7D5ZcVgNmcWLPTMral5BmKdx5IKTtx2a&#10;uhMhPgqPGQMR2Jv4gKPVhOJpZ3G2Jv/rb/6Eh/SIctZjZmsefm6EV5zpbxZDcTE9PU1Dni+n1VmJ&#10;iz+OrI4jdmOuCXRMsaFOZjPho96brSfzjPVapFcRElbi7ZrHvXkdx03Cekq1WGQQxtqJeGeXTqbU&#10;if4k2dPwLLzb6RoxEve0n24xeyfviB0FXmwitV3WPvE8srqjHyuR1dmtb9q543tGvf3JzH8DAAD/&#10;/wMAUEsDBBQABgAIAAAAIQAd7Y+W3gAAAAcBAAAPAAAAZHJzL2Rvd25yZXYueG1sTI/NbsIwEITv&#10;lfoO1lbqrTglCqJpHIQQqBx64e/Qm4m3SUS8Tm0D4e3ZntrbjmY0+00xG2wnLuhD60jB6ygBgVQ5&#10;01KtYL9bvUxBhKjJ6M4RKrhhgFn5+FDo3LgrbfCyjbXgEgq5VtDE2OdShqpBq8PI9UjsfTtvdWTp&#10;a2m8vnK57eQ4SSbS6pb4Q6N7XDRYnbZnq8Afqmxxque7Yf25yQ4ft/3k52up1PPTMH8HEXGIf2H4&#10;xWd0KJnp6M5kgugUZCkHFaQ8iN10nLA+8vE2TUGWhfzPX94BAAD//wMAUEsBAi0AFAAGAAgAAAAh&#10;ALaDOJL+AAAA4QEAABMAAAAAAAAAAAAAAAAAAAAAAFtDb250ZW50X1R5cGVzXS54bWxQSwECLQAU&#10;AAYACAAAACEAOP0h/9YAAACUAQAACwAAAAAAAAAAAAAAAAAvAQAAX3JlbHMvLnJlbHNQSwECLQAU&#10;AAYACAAAACEAl0tLe1YCAACsBAAADgAAAAAAAAAAAAAAAAAuAgAAZHJzL2Uyb0RvYy54bWxQSwEC&#10;LQAUAAYACAAAACEAHe2Plt4AAAAHAQAADwAAAAAAAAAAAAAAAACwBAAAZHJzL2Rvd25yZXYueG1s&#10;UEsFBgAAAAAEAAQA8wAAALsFAAAAAA==&#10;" filled="f" strokecolor="#31849b [2408]" strokeweight="2.25pt">
                <v:textbox>
                  <w:txbxContent>
                    <w:p w:rsidR="00430B8E" w:rsidRPr="00741052" w:rsidRDefault="00430B8E" w:rsidP="004D7BCD">
                      <w:pPr>
                        <w:pBdr>
                          <w:top w:val="nil"/>
                          <w:left w:val="nil"/>
                          <w:bottom w:val="nil"/>
                          <w:right w:val="nil"/>
                          <w:between w:val="nil"/>
                        </w:pBdr>
                        <w:spacing w:after="0" w:line="240" w:lineRule="auto"/>
                        <w:rPr>
                          <w:b/>
                          <w:color w:val="31849B" w:themeColor="accent5" w:themeShade="BF"/>
                          <w:sz w:val="32"/>
                        </w:rPr>
                      </w:pPr>
                      <w:r>
                        <w:rPr>
                          <w:b/>
                          <w:color w:val="31849B" w:themeColor="accent5" w:themeShade="BF"/>
                          <w:sz w:val="32"/>
                        </w:rPr>
                        <w:t>Fact Sheets</w:t>
                      </w:r>
                    </w:p>
                    <w:p w:rsidR="00430B8E" w:rsidRPr="001D41D9" w:rsidRDefault="00430B8E" w:rsidP="001D41D9">
                      <w:pPr>
                        <w:spacing w:after="0"/>
                        <w:rPr>
                          <w:bCs/>
                          <w:color w:val="000000"/>
                          <w:sz w:val="20"/>
                          <w:szCs w:val="20"/>
                        </w:rPr>
                      </w:pPr>
                      <w:r w:rsidRPr="001D41D9">
                        <w:rPr>
                          <w:bCs/>
                          <w:color w:val="000000"/>
                          <w:sz w:val="20"/>
                          <w:szCs w:val="20"/>
                        </w:rPr>
                        <w:t>As helpful resources prior to the release of the streamlined permit guidance, the State Water Board developed several fact sheets</w:t>
                      </w:r>
                      <w:r>
                        <w:rPr>
                          <w:bCs/>
                          <w:color w:val="000000"/>
                          <w:sz w:val="20"/>
                          <w:szCs w:val="20"/>
                        </w:rPr>
                        <w:t xml:space="preserve"> related to groundwater recharge</w:t>
                      </w:r>
                      <w:r w:rsidRPr="001D41D9">
                        <w:rPr>
                          <w:bCs/>
                          <w:color w:val="000000"/>
                          <w:sz w:val="20"/>
                          <w:szCs w:val="20"/>
                        </w:rPr>
                        <w:t xml:space="preserve">: </w:t>
                      </w:r>
                    </w:p>
                    <w:p w:rsidR="00430B8E" w:rsidRPr="001D41D9" w:rsidRDefault="00430B8E" w:rsidP="001D41D9">
                      <w:pPr>
                        <w:numPr>
                          <w:ilvl w:val="0"/>
                          <w:numId w:val="15"/>
                        </w:numPr>
                        <w:spacing w:after="0"/>
                        <w:rPr>
                          <w:bCs/>
                          <w:color w:val="000000"/>
                          <w:sz w:val="20"/>
                          <w:szCs w:val="20"/>
                        </w:rPr>
                      </w:pPr>
                      <w:hyperlink r:id="rId47" w:history="1">
                        <w:r w:rsidRPr="001D41D9">
                          <w:rPr>
                            <w:rStyle w:val="Hyperlink"/>
                            <w:bCs/>
                            <w:sz w:val="20"/>
                            <w:szCs w:val="20"/>
                          </w:rPr>
                          <w:t>Purposes of Use for Underground Storage Projects</w:t>
                        </w:r>
                      </w:hyperlink>
                    </w:p>
                    <w:p w:rsidR="00430B8E" w:rsidRPr="001D41D9" w:rsidRDefault="00430B8E" w:rsidP="001D41D9">
                      <w:pPr>
                        <w:numPr>
                          <w:ilvl w:val="0"/>
                          <w:numId w:val="15"/>
                        </w:numPr>
                        <w:spacing w:after="0"/>
                        <w:rPr>
                          <w:bCs/>
                          <w:color w:val="000000"/>
                          <w:sz w:val="20"/>
                          <w:szCs w:val="20"/>
                        </w:rPr>
                      </w:pPr>
                      <w:hyperlink r:id="rId48" w:history="1">
                        <w:r w:rsidRPr="001D41D9">
                          <w:rPr>
                            <w:rStyle w:val="Hyperlink"/>
                            <w:bCs/>
                            <w:sz w:val="20"/>
                            <w:szCs w:val="20"/>
                          </w:rPr>
                          <w:t>Flood Control, Groundwater Recharge, and Water Rights</w:t>
                        </w:r>
                      </w:hyperlink>
                    </w:p>
                    <w:p w:rsidR="00430B8E" w:rsidRDefault="00430B8E" w:rsidP="001D41D9"/>
                  </w:txbxContent>
                </v:textbox>
                <w10:wrap type="square"/>
              </v:shape>
            </w:pict>
          </mc:Fallback>
        </mc:AlternateContent>
      </w:r>
      <w:r w:rsidRPr="002B2541">
        <w:rPr>
          <w:bCs/>
          <w:sz w:val="20"/>
          <w:szCs w:val="12"/>
        </w:rPr>
        <w:t xml:space="preserve">Diagram provided by </w:t>
      </w:r>
      <w:r>
        <w:rPr>
          <w:bCs/>
          <w:sz w:val="20"/>
          <w:szCs w:val="12"/>
        </w:rPr>
        <w:t>t</w:t>
      </w:r>
      <w:r w:rsidRPr="002B2541">
        <w:rPr>
          <w:bCs/>
          <w:sz w:val="20"/>
          <w:szCs w:val="12"/>
        </w:rPr>
        <w:t>he University of California, Berkeley Center for Law, Energy &amp; the Environment.</w:t>
      </w:r>
    </w:p>
    <w:p w:rsidR="001D41D9" w:rsidRPr="00015DA5" w:rsidRDefault="001D41D9" w:rsidP="002B2541">
      <w:pPr>
        <w:pBdr>
          <w:top w:val="nil"/>
          <w:left w:val="nil"/>
          <w:bottom w:val="nil"/>
          <w:right w:val="nil"/>
          <w:between w:val="nil"/>
        </w:pBdr>
        <w:spacing w:before="120" w:after="0" w:line="240" w:lineRule="auto"/>
        <w:rPr>
          <w:b/>
          <w:color w:val="31849B" w:themeColor="accent5" w:themeShade="BF"/>
          <w:sz w:val="32"/>
        </w:rPr>
      </w:pPr>
      <w:r w:rsidRPr="00015DA5">
        <w:rPr>
          <w:b/>
          <w:color w:val="31849B" w:themeColor="accent5" w:themeShade="BF"/>
          <w:sz w:val="32"/>
        </w:rPr>
        <w:t>Berkeley Law Issue Brief</w:t>
      </w:r>
    </w:p>
    <w:p w:rsidR="001D41D9" w:rsidRPr="00413F84" w:rsidRDefault="001D41D9" w:rsidP="00DE2BC7">
      <w:pPr>
        <w:pBdr>
          <w:top w:val="nil"/>
          <w:left w:val="nil"/>
          <w:bottom w:val="nil"/>
          <w:right w:val="nil"/>
          <w:between w:val="nil"/>
        </w:pBdr>
        <w:spacing w:after="0" w:line="276" w:lineRule="auto"/>
      </w:pPr>
      <w:r w:rsidRPr="00413F84">
        <w:rPr>
          <w:bCs/>
          <w:color w:val="000000"/>
          <w:sz w:val="22"/>
          <w:szCs w:val="22"/>
        </w:rPr>
        <w:t>The University of California, Berkeley Center for Law, Energy &amp; the Environment published an issue brief in August 2018 titled, “</w:t>
      </w:r>
      <w:hyperlink r:id="rId49" w:history="1">
        <w:r w:rsidRPr="00413F84">
          <w:rPr>
            <w:rStyle w:val="Hyperlink"/>
            <w:bCs/>
            <w:sz w:val="22"/>
            <w:szCs w:val="22"/>
          </w:rPr>
          <w:t>When Is Groundwater Recharge a Beneficial Use of Surface Water in California?</w:t>
        </w:r>
      </w:hyperlink>
      <w:r w:rsidRPr="00413F84">
        <w:rPr>
          <w:bCs/>
          <w:color w:val="000000"/>
          <w:sz w:val="22"/>
          <w:szCs w:val="22"/>
        </w:rPr>
        <w:t xml:space="preserve">” The issue brief helps define the conditions under which recharge for non-extractive purposes is a beneficial use and encourages the State Water Board to develop such guidance as they are pursuing now. The following chart is a helpful summary from the </w:t>
      </w:r>
      <w:r w:rsidR="00413F84">
        <w:rPr>
          <w:bCs/>
          <w:color w:val="000000"/>
          <w:sz w:val="22"/>
          <w:szCs w:val="22"/>
        </w:rPr>
        <w:t xml:space="preserve">extractive and non-extractive uses. </w:t>
      </w:r>
    </w:p>
    <w:p w:rsidR="004D7BCD" w:rsidRPr="004D7BCD" w:rsidRDefault="004D7BCD" w:rsidP="004D7BCD">
      <w:pPr>
        <w:pBdr>
          <w:top w:val="nil"/>
          <w:left w:val="nil"/>
          <w:bottom w:val="nil"/>
          <w:right w:val="nil"/>
          <w:between w:val="nil"/>
        </w:pBdr>
        <w:spacing w:after="0" w:line="240" w:lineRule="auto"/>
        <w:rPr>
          <w:b/>
          <w:color w:val="31849B" w:themeColor="accent5" w:themeShade="BF"/>
          <w:sz w:val="8"/>
          <w:szCs w:val="2"/>
        </w:rPr>
      </w:pPr>
    </w:p>
    <w:p w:rsidR="004D7BCD" w:rsidRPr="004D7BCD" w:rsidRDefault="004D7BCD" w:rsidP="004D7BCD">
      <w:pPr>
        <w:pBdr>
          <w:top w:val="nil"/>
          <w:left w:val="nil"/>
          <w:bottom w:val="nil"/>
          <w:right w:val="nil"/>
          <w:between w:val="nil"/>
        </w:pBdr>
        <w:spacing w:after="0" w:line="240" w:lineRule="auto"/>
        <w:rPr>
          <w:b/>
          <w:color w:val="31849B" w:themeColor="accent5" w:themeShade="BF"/>
          <w:szCs w:val="14"/>
        </w:rPr>
      </w:pPr>
    </w:p>
    <w:p w:rsidR="00DE2BC7" w:rsidRDefault="004D7BCD" w:rsidP="004D7BCD">
      <w:pPr>
        <w:pBdr>
          <w:top w:val="nil"/>
          <w:left w:val="nil"/>
          <w:bottom w:val="nil"/>
          <w:right w:val="nil"/>
          <w:between w:val="nil"/>
        </w:pBdr>
        <w:spacing w:after="0" w:line="240" w:lineRule="auto"/>
        <w:rPr>
          <w:b/>
          <w:color w:val="31849B" w:themeColor="accent5" w:themeShade="BF"/>
          <w:sz w:val="32"/>
        </w:rPr>
      </w:pPr>
      <w:r>
        <w:rPr>
          <w:b/>
          <w:color w:val="31849B" w:themeColor="accent5" w:themeShade="BF"/>
          <w:sz w:val="32"/>
        </w:rPr>
        <w:t>Proposed 5-Year T</w:t>
      </w:r>
      <w:r w:rsidR="00C42C85" w:rsidRPr="00413F84">
        <w:rPr>
          <w:b/>
          <w:color w:val="31849B" w:themeColor="accent5" w:themeShade="BF"/>
          <w:sz w:val="32"/>
        </w:rPr>
        <w:t>emporary Permit</w:t>
      </w:r>
    </w:p>
    <w:p w:rsidR="00AC63EE" w:rsidRDefault="00DE2BC7" w:rsidP="004D7BCD">
      <w:pPr>
        <w:pBdr>
          <w:top w:val="nil"/>
          <w:left w:val="nil"/>
          <w:bottom w:val="nil"/>
          <w:right w:val="nil"/>
          <w:between w:val="nil"/>
        </w:pBdr>
        <w:spacing w:after="0" w:line="276" w:lineRule="auto"/>
        <w:rPr>
          <w:bCs/>
          <w:color w:val="000000"/>
          <w:sz w:val="22"/>
          <w:szCs w:val="22"/>
        </w:rPr>
      </w:pPr>
      <w:r>
        <w:rPr>
          <w:bCs/>
          <w:color w:val="000000"/>
          <w:sz w:val="22"/>
          <w:szCs w:val="22"/>
        </w:rPr>
        <w:t xml:space="preserve">Over the last several years, the Legislature has proposed </w:t>
      </w:r>
      <w:r w:rsidR="00AC63EE">
        <w:rPr>
          <w:bCs/>
          <w:color w:val="000000"/>
          <w:sz w:val="22"/>
          <w:szCs w:val="22"/>
        </w:rPr>
        <w:t xml:space="preserve">a </w:t>
      </w:r>
      <w:r w:rsidR="007A268C">
        <w:rPr>
          <w:bCs/>
          <w:color w:val="000000"/>
          <w:sz w:val="22"/>
          <w:szCs w:val="22"/>
        </w:rPr>
        <w:t xml:space="preserve">legislative solution to developing a temporary water rights </w:t>
      </w:r>
      <w:r w:rsidR="00AC63EE">
        <w:rPr>
          <w:bCs/>
          <w:color w:val="000000"/>
          <w:sz w:val="22"/>
          <w:szCs w:val="22"/>
        </w:rPr>
        <w:t xml:space="preserve">permit to capture high-flow events, similar to the executive order but allowing the temporary permit to span multiple years. </w:t>
      </w:r>
      <w:r w:rsidR="00717F28">
        <w:rPr>
          <w:bCs/>
          <w:color w:val="000000"/>
          <w:sz w:val="22"/>
          <w:szCs w:val="22"/>
        </w:rPr>
        <w:t xml:space="preserve">These legislative proposals have included </w:t>
      </w:r>
      <w:r w:rsidR="00AC63EE">
        <w:rPr>
          <w:bCs/>
          <w:color w:val="000000"/>
          <w:sz w:val="22"/>
          <w:szCs w:val="22"/>
        </w:rPr>
        <w:t>AB 1427 (</w:t>
      </w:r>
      <w:proofErr w:type="spellStart"/>
      <w:r w:rsidR="00AC63EE">
        <w:rPr>
          <w:bCs/>
          <w:color w:val="000000"/>
          <w:sz w:val="22"/>
          <w:szCs w:val="22"/>
        </w:rPr>
        <w:t>Eggman</w:t>
      </w:r>
      <w:proofErr w:type="spellEnd"/>
      <w:r w:rsidR="00AC63EE">
        <w:rPr>
          <w:bCs/>
          <w:color w:val="000000"/>
          <w:sz w:val="22"/>
          <w:szCs w:val="22"/>
        </w:rPr>
        <w:t xml:space="preserve">) </w:t>
      </w:r>
      <w:r w:rsidR="00717F28">
        <w:rPr>
          <w:bCs/>
          <w:color w:val="000000"/>
          <w:sz w:val="22"/>
          <w:szCs w:val="22"/>
        </w:rPr>
        <w:t>which became a two-year bill in 2017 and AB 2649 (</w:t>
      </w:r>
      <w:proofErr w:type="spellStart"/>
      <w:r w:rsidR="00717F28">
        <w:rPr>
          <w:bCs/>
          <w:color w:val="000000"/>
          <w:sz w:val="22"/>
          <w:szCs w:val="22"/>
        </w:rPr>
        <w:t>Arambula</w:t>
      </w:r>
      <w:proofErr w:type="spellEnd"/>
      <w:r w:rsidR="00717F28">
        <w:rPr>
          <w:bCs/>
          <w:color w:val="000000"/>
          <w:sz w:val="22"/>
          <w:szCs w:val="22"/>
        </w:rPr>
        <w:t xml:space="preserve">) which </w:t>
      </w:r>
      <w:r w:rsidR="00AC63EE">
        <w:rPr>
          <w:bCs/>
          <w:color w:val="000000"/>
          <w:sz w:val="22"/>
          <w:szCs w:val="22"/>
        </w:rPr>
        <w:t>was gutted-and amended</w:t>
      </w:r>
      <w:r w:rsidR="00717F28">
        <w:rPr>
          <w:bCs/>
          <w:color w:val="000000"/>
          <w:sz w:val="22"/>
          <w:szCs w:val="22"/>
        </w:rPr>
        <w:t xml:space="preserve"> at the end of session </w:t>
      </w:r>
      <w:r w:rsidR="00AC63EE">
        <w:rPr>
          <w:bCs/>
          <w:color w:val="000000"/>
          <w:sz w:val="22"/>
          <w:szCs w:val="22"/>
        </w:rPr>
        <w:t>in 2018. This year, AB 658 (</w:t>
      </w:r>
      <w:proofErr w:type="spellStart"/>
      <w:r w:rsidR="00AC63EE">
        <w:rPr>
          <w:bCs/>
          <w:color w:val="000000"/>
          <w:sz w:val="22"/>
          <w:szCs w:val="22"/>
        </w:rPr>
        <w:t>Arambula</w:t>
      </w:r>
      <w:proofErr w:type="spellEnd"/>
      <w:r w:rsidR="00AC63EE">
        <w:rPr>
          <w:bCs/>
          <w:color w:val="000000"/>
          <w:sz w:val="22"/>
          <w:szCs w:val="22"/>
        </w:rPr>
        <w:t>) would</w:t>
      </w:r>
      <w:r w:rsidR="004D7BCD">
        <w:rPr>
          <w:bCs/>
          <w:color w:val="000000"/>
          <w:sz w:val="22"/>
          <w:szCs w:val="22"/>
        </w:rPr>
        <w:t xml:space="preserve"> </w:t>
      </w:r>
      <w:r w:rsidR="004D7BCD" w:rsidRPr="004D7BCD">
        <w:rPr>
          <w:bCs/>
          <w:color w:val="000000"/>
          <w:sz w:val="22"/>
          <w:szCs w:val="22"/>
        </w:rPr>
        <w:t xml:space="preserve">authorize a </w:t>
      </w:r>
      <w:r w:rsidR="004D7BCD">
        <w:rPr>
          <w:bCs/>
          <w:color w:val="000000"/>
          <w:sz w:val="22"/>
          <w:szCs w:val="22"/>
        </w:rPr>
        <w:t xml:space="preserve">GSA </w:t>
      </w:r>
      <w:r w:rsidR="004D7BCD" w:rsidRPr="004D7BCD">
        <w:rPr>
          <w:bCs/>
          <w:color w:val="000000"/>
          <w:sz w:val="22"/>
          <w:szCs w:val="22"/>
        </w:rPr>
        <w:t xml:space="preserve">or local agency to apply for, and the </w:t>
      </w:r>
      <w:r w:rsidR="004D7BCD">
        <w:rPr>
          <w:bCs/>
          <w:color w:val="000000"/>
          <w:sz w:val="22"/>
          <w:szCs w:val="22"/>
        </w:rPr>
        <w:t>State Water B</w:t>
      </w:r>
      <w:r w:rsidR="004D7BCD" w:rsidRPr="004D7BCD">
        <w:rPr>
          <w:bCs/>
          <w:color w:val="000000"/>
          <w:sz w:val="22"/>
          <w:szCs w:val="22"/>
        </w:rPr>
        <w:t xml:space="preserve">oard to issue, a conditional </w:t>
      </w:r>
      <w:r w:rsidR="004D7BCD">
        <w:rPr>
          <w:bCs/>
          <w:color w:val="000000"/>
          <w:sz w:val="22"/>
          <w:szCs w:val="22"/>
        </w:rPr>
        <w:t xml:space="preserve">5-year </w:t>
      </w:r>
      <w:r w:rsidR="004D7BCD" w:rsidRPr="004D7BCD">
        <w:rPr>
          <w:bCs/>
          <w:color w:val="000000"/>
          <w:sz w:val="22"/>
          <w:szCs w:val="22"/>
        </w:rPr>
        <w:t xml:space="preserve">temporary permit </w:t>
      </w:r>
      <w:r w:rsidR="004D7BCD">
        <w:rPr>
          <w:bCs/>
          <w:color w:val="000000"/>
          <w:sz w:val="22"/>
          <w:szCs w:val="22"/>
        </w:rPr>
        <w:t xml:space="preserve">to divert </w:t>
      </w:r>
      <w:r w:rsidR="004D7BCD" w:rsidRPr="004D7BCD">
        <w:rPr>
          <w:bCs/>
          <w:color w:val="000000"/>
          <w:sz w:val="22"/>
          <w:szCs w:val="22"/>
        </w:rPr>
        <w:t xml:space="preserve">surface water </w:t>
      </w:r>
      <w:r w:rsidR="004D7BCD">
        <w:rPr>
          <w:bCs/>
          <w:color w:val="000000"/>
          <w:sz w:val="22"/>
          <w:szCs w:val="22"/>
        </w:rPr>
        <w:t>during high-flow events for u</w:t>
      </w:r>
      <w:r w:rsidR="004D7BCD" w:rsidRPr="004D7BCD">
        <w:rPr>
          <w:bCs/>
          <w:color w:val="000000"/>
          <w:sz w:val="22"/>
          <w:szCs w:val="22"/>
        </w:rPr>
        <w:t xml:space="preserve">nderground storage for beneficial use that advances the sustainability goal </w:t>
      </w:r>
      <w:r w:rsidR="004D7BCD" w:rsidRPr="004D7BCD">
        <w:rPr>
          <w:bCs/>
          <w:color w:val="000000"/>
          <w:sz w:val="22"/>
          <w:szCs w:val="22"/>
        </w:rPr>
        <w:lastRenderedPageBreak/>
        <w:t>of a groundwater basin</w:t>
      </w:r>
      <w:r w:rsidR="004D7BCD">
        <w:rPr>
          <w:bCs/>
          <w:color w:val="000000"/>
          <w:sz w:val="22"/>
          <w:szCs w:val="22"/>
        </w:rPr>
        <w:t xml:space="preserve">. If passed by the Legislature, the 5-year temporary permit could be acquired first by a local agency or GSA to how feasible it is to capture and divert excess surface water. Then the local agency or GSA could pursue the permanent streamlined water rights permit. </w:t>
      </w:r>
    </w:p>
    <w:p w:rsidR="002B2541" w:rsidRDefault="00950E16" w:rsidP="004D7BCD">
      <w:pPr>
        <w:pBdr>
          <w:top w:val="nil"/>
          <w:left w:val="nil"/>
          <w:bottom w:val="nil"/>
          <w:right w:val="nil"/>
          <w:between w:val="nil"/>
        </w:pBdr>
        <w:spacing w:after="0" w:line="276" w:lineRule="auto"/>
        <w:rPr>
          <w:bCs/>
          <w:color w:val="000000"/>
          <w:sz w:val="22"/>
          <w:szCs w:val="22"/>
        </w:rPr>
      </w:pPr>
      <w:r w:rsidRPr="004634F1">
        <w:rPr>
          <w:b/>
          <w:noProof/>
          <w:color w:val="000000"/>
          <w:sz w:val="20"/>
          <w:szCs w:val="20"/>
        </w:rPr>
        <mc:AlternateContent>
          <mc:Choice Requires="wps">
            <w:drawing>
              <wp:anchor distT="0" distB="0" distL="114300" distR="114300" simplePos="0" relativeHeight="251665408" behindDoc="0" locked="0" layoutInCell="1" allowOverlap="1">
                <wp:simplePos x="0" y="0"/>
                <wp:positionH relativeFrom="column">
                  <wp:posOffset>-28575</wp:posOffset>
                </wp:positionH>
                <wp:positionV relativeFrom="paragraph">
                  <wp:posOffset>211455</wp:posOffset>
                </wp:positionV>
                <wp:extent cx="3002280" cy="6543675"/>
                <wp:effectExtent l="19050" t="19050" r="26670" b="28575"/>
                <wp:wrapSquare wrapText="bothSides"/>
                <wp:docPr id="11" name="Text Box 11"/>
                <wp:cNvGraphicFramePr/>
                <a:graphic xmlns:a="http://schemas.openxmlformats.org/drawingml/2006/main">
                  <a:graphicData uri="http://schemas.microsoft.com/office/word/2010/wordprocessingShape">
                    <wps:wsp>
                      <wps:cNvSpPr txBox="1"/>
                      <wps:spPr>
                        <a:xfrm>
                          <a:off x="0" y="0"/>
                          <a:ext cx="3002280" cy="6543675"/>
                        </a:xfrm>
                        <a:prstGeom prst="rect">
                          <a:avLst/>
                        </a:prstGeom>
                        <a:solidFill>
                          <a:schemeClr val="lt1"/>
                        </a:solidFill>
                        <a:ln w="28575">
                          <a:solidFill>
                            <a:schemeClr val="accent5">
                              <a:lumMod val="75000"/>
                            </a:schemeClr>
                          </a:solidFill>
                        </a:ln>
                      </wps:spPr>
                      <wps:txbx>
                        <w:txbxContent>
                          <w:p w:rsidR="00430B8E" w:rsidRPr="00413F84" w:rsidRDefault="00430B8E" w:rsidP="00413F84">
                            <w:pPr>
                              <w:pBdr>
                                <w:top w:val="nil"/>
                                <w:left w:val="nil"/>
                                <w:bottom w:val="nil"/>
                                <w:right w:val="nil"/>
                                <w:between w:val="nil"/>
                              </w:pBdr>
                              <w:spacing w:before="120" w:after="120" w:line="240" w:lineRule="auto"/>
                              <w:rPr>
                                <w:b/>
                                <w:color w:val="31849B" w:themeColor="accent5" w:themeShade="BF"/>
                                <w:sz w:val="32"/>
                              </w:rPr>
                            </w:pPr>
                            <w:r w:rsidRPr="00413F84">
                              <w:rPr>
                                <w:b/>
                                <w:color w:val="31849B" w:themeColor="accent5" w:themeShade="BF"/>
                                <w:sz w:val="32"/>
                              </w:rPr>
                              <w:t>Flood Managed Aquifer Recharge (Flood-MAR)</w:t>
                            </w:r>
                          </w:p>
                          <w:p w:rsidR="00430B8E" w:rsidRPr="00413F84" w:rsidRDefault="00430B8E" w:rsidP="00882B0E">
                            <w:pPr>
                              <w:shd w:val="clear" w:color="auto" w:fill="FFFFFF"/>
                              <w:spacing w:after="0" w:line="240" w:lineRule="auto"/>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“Flood-MAR” is an integrated and voluntary resource management strategy that uses flood water resulting from, or in anticipation of, rainfall or snow melt for managed aquifer recharge (MAR) on agricultural lands and working landscapes, including but not limited to refuges, floodplains, and flood bypasses. Flood-MAR can be implemented at multiple scales, from individual landowners diverting flood water with existing infrastructure, to using extensive detention/recharge areas and modernizing flood management infrastructure/operations.</w:t>
                            </w:r>
                          </w:p>
                          <w:p w:rsidR="00430B8E" w:rsidRDefault="00430B8E" w:rsidP="00882B0E">
                            <w:pPr>
                              <w:shd w:val="clear" w:color="auto" w:fill="FFFFFF"/>
                              <w:spacing w:after="0" w:line="240" w:lineRule="auto"/>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Flood-MAR projects can provide broad benefits for Californians and the ecosystems of the state, including:</w:t>
                            </w:r>
                          </w:p>
                          <w:p w:rsidR="00430B8E" w:rsidRPr="00413F84" w:rsidRDefault="00430B8E" w:rsidP="00882B0E">
                            <w:pPr>
                              <w:shd w:val="clear" w:color="auto" w:fill="FFFFFF"/>
                              <w:spacing w:after="0" w:line="240" w:lineRule="auto"/>
                              <w:rPr>
                                <w:rFonts w:asciiTheme="majorHAnsi" w:eastAsia="Times New Roman" w:hAnsiTheme="majorHAnsi" w:cstheme="majorHAnsi"/>
                                <w:color w:val="333333"/>
                                <w:sz w:val="20"/>
                                <w:szCs w:val="20"/>
                              </w:rPr>
                            </w:pP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Water supply reliability</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Flood risk reduction</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Drought Preparedness</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Aquifer Replenishment</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Ecosystem Enhancement</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Subsidence Mitigation</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Water Quality Improvement</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Working Landscape </w:t>
                            </w:r>
                            <w:r w:rsidRPr="00413F84">
                              <w:rPr>
                                <w:rFonts w:asciiTheme="majorHAnsi" w:eastAsia="Times New Roman" w:hAnsiTheme="majorHAnsi" w:cstheme="majorHAnsi"/>
                                <w:color w:val="333333"/>
                                <w:sz w:val="20"/>
                                <w:szCs w:val="20"/>
                              </w:rPr>
                              <w:br/>
                              <w:t>Preservation and Stewardship</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Climate Change Adaptation</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Recreation and Aesthetics</w:t>
                            </w:r>
                          </w:p>
                          <w:p w:rsidR="00430B8E" w:rsidRPr="00413F84" w:rsidRDefault="00430B8E" w:rsidP="00882B0E">
                            <w:pPr>
                              <w:shd w:val="clear" w:color="auto" w:fill="FFFFFF"/>
                              <w:spacing w:after="0" w:line="240" w:lineRule="auto"/>
                              <w:rPr>
                                <w:rFonts w:asciiTheme="majorHAnsi" w:eastAsia="Times New Roman" w:hAnsiTheme="majorHAnsi" w:cstheme="majorHAnsi"/>
                                <w:color w:val="333333"/>
                                <w:sz w:val="20"/>
                                <w:szCs w:val="20"/>
                              </w:rPr>
                            </w:pPr>
                          </w:p>
                          <w:p w:rsidR="00430B8E" w:rsidRPr="00413F84" w:rsidRDefault="00430B8E" w:rsidP="004634F1">
                            <w:pPr>
                              <w:shd w:val="clear" w:color="auto" w:fill="FFFFFF"/>
                              <w:spacing w:after="0" w:line="240" w:lineRule="auto"/>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There is strong, and growing, interest across the state in understanding the benefits, limitations, concerns, costs, and funding opportunities for Flood-MAR projects. DWR is working with other state, federal, Triba</w:t>
                            </w:r>
                            <w:r>
                              <w:rPr>
                                <w:rFonts w:asciiTheme="majorHAnsi" w:eastAsia="Times New Roman" w:hAnsiTheme="majorHAnsi" w:cstheme="majorHAnsi"/>
                                <w:color w:val="333333"/>
                                <w:sz w:val="20"/>
                                <w:szCs w:val="20"/>
                              </w:rPr>
                              <w:t>l, and local entities, academia,</w:t>
                            </w:r>
                            <w:r w:rsidRPr="00413F84">
                              <w:rPr>
                                <w:rFonts w:asciiTheme="majorHAnsi" w:eastAsia="Times New Roman" w:hAnsiTheme="majorHAnsi" w:cstheme="majorHAnsi"/>
                                <w:color w:val="333333"/>
                                <w:sz w:val="20"/>
                                <w:szCs w:val="20"/>
                              </w:rPr>
                              <w:t xml:space="preserve"> and landowners. Their </w:t>
                            </w:r>
                            <w:hyperlink r:id="rId50" w:history="1">
                              <w:r w:rsidRPr="00413F84">
                                <w:rPr>
                                  <w:rStyle w:val="Hyperlink"/>
                                  <w:rFonts w:asciiTheme="majorHAnsi" w:eastAsia="Times New Roman" w:hAnsiTheme="majorHAnsi" w:cstheme="majorHAnsi"/>
                                  <w:sz w:val="20"/>
                                  <w:szCs w:val="20"/>
                                </w:rPr>
                                <w:t>white paper can be found here</w:t>
                              </w:r>
                            </w:hyperlink>
                            <w:r w:rsidRPr="00413F84">
                              <w:rPr>
                                <w:rFonts w:asciiTheme="majorHAnsi" w:eastAsia="Times New Roman" w:hAnsiTheme="majorHAnsi" w:cstheme="majorHAnsi"/>
                                <w:color w:val="333333"/>
                                <w:sz w:val="20"/>
                                <w:szCs w:val="20"/>
                              </w:rPr>
                              <w:t>.  More informatio</w:t>
                            </w:r>
                            <w:r>
                              <w:rPr>
                                <w:rFonts w:asciiTheme="majorHAnsi" w:eastAsia="Times New Roman" w:hAnsiTheme="majorHAnsi" w:cstheme="majorHAnsi"/>
                                <w:color w:val="333333"/>
                                <w:sz w:val="20"/>
                                <w:szCs w:val="20"/>
                              </w:rPr>
                              <w:t xml:space="preserve">n can be found on </w:t>
                            </w:r>
                            <w:hyperlink r:id="rId51" w:history="1">
                              <w:r w:rsidRPr="00413F84">
                                <w:rPr>
                                  <w:rStyle w:val="Hyperlink"/>
                                  <w:rFonts w:asciiTheme="majorHAnsi" w:eastAsia="Times New Roman" w:hAnsiTheme="majorHAnsi" w:cstheme="majorHAnsi"/>
                                  <w:sz w:val="20"/>
                                  <w:szCs w:val="20"/>
                                </w:rPr>
                                <w:t>DWR’s website</w:t>
                              </w:r>
                            </w:hyperlink>
                            <w:r>
                              <w:rPr>
                                <w:rFonts w:asciiTheme="majorHAnsi" w:eastAsia="Times New Roman" w:hAnsiTheme="majorHAnsi" w:cstheme="majorHAnsi"/>
                                <w:color w:val="333333"/>
                                <w:sz w:val="20"/>
                                <w:szCs w:val="20"/>
                              </w:rPr>
                              <w:t>.</w:t>
                            </w:r>
                            <w:r w:rsidRPr="00413F84">
                              <w:rPr>
                                <w:rFonts w:asciiTheme="majorHAnsi" w:eastAsia="Times New Roman" w:hAnsiTheme="majorHAnsi" w:cstheme="majorHAnsi"/>
                                <w:color w:val="333333"/>
                                <w:sz w:val="20"/>
                                <w:szCs w:val="20"/>
                              </w:rPr>
                              <w:t xml:space="preserve"> </w:t>
                            </w:r>
                            <w:r>
                              <w:rPr>
                                <w:rFonts w:asciiTheme="majorHAnsi" w:eastAsia="Times New Roman" w:hAnsiTheme="majorHAnsi" w:cstheme="majorHAnsi"/>
                                <w:color w:val="333333"/>
                                <w:sz w:val="20"/>
                                <w:szCs w:val="20"/>
                              </w:rPr>
                              <w:t>Flood-MAR is a multi-benefit technique that can be used by GSAs when identifying ways to replenish basins.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2.25pt;margin-top:16.65pt;width:236.4pt;height:51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M4WXAIAANUEAAAOAAAAZHJzL2Uyb0RvYy54bWysVMFOGzEQvVfqP1i+l92EBNKIDUpBVJUo&#10;IEHF2fF6yUq2x7Wd7NKv77M3gZRWqlT14tgzs29m3rzJ2XlvNNsqH1qyFR8dlZwpK6lu7VPFvz1c&#10;fZhxFqKwtdBkVcWfVeDni/fvzjo3V2Nak66VZwCxYd65iq9jdPOiCHKtjAhH5JSFsyFvRMTTPxW1&#10;Fx3QjS7GZXlSdORr50mqEGC9HJx8kfGbRsl42zRBRaYrjtpiPn0+V+ksFmdi/uSFW7dyV4b4hyqM&#10;aC2SvkBdiijYxre/QZlWegrUxCNJpqCmaaXKPaCbUfmmm/u1cCr3AnKCe6Ep/D9YebO986ytMbsR&#10;Z1YYzOhB9ZF9op7BBH46F+YIu3cIjD3siN3bA4yp7b7xJv2iIQY/mH5+YTehSRiPy3I8nsEl4TuZ&#10;To5PTqcJp3j93PkQPysyLF0q7jG+zKrYXoc4hO5DUrZAuq2vWq3zI0lGXWjPtgLD1jEXCfBforRl&#10;XcXHsyly/w1CSKlsHOL0xnyleoA+nZZlVk4C32fNfRykgk9bGBN7A0vpFvtVP7CdAZJpRfUzmPU0&#10;aDM4edWi+2sR4p3wECMYw4LFWxyNJlRPuxtna/I//mRP8dAIvJx1EHfFw/eN8Ioz/cVCPR9Hk0na&#10;hvyYTE/HePhDz+rQYzfmgkApBILq8jXFR72/Np7MI/ZwmbLCJaxE7orH/fUiDiuHPZZqucxB0L8T&#10;8dreO5mg0zDSbB/6R+HdTgAR2rmh/RqI+RsdDLHpS0vLTaSmzSJ5ZXXHP3Ynj2e352k5D9856vXf&#10;aPETAAD//wMAUEsDBBQABgAIAAAAIQCFt3kB4QAAAAoBAAAPAAAAZHJzL2Rvd25yZXYueG1sTI/L&#10;TsMwEEX3SPyDNUjsWgcSohDiVAWBQF1AH3yAGw9JlHgcxW4b+vUMK9jN6B7dOVMsJtuLI46+daTg&#10;Zh6BQKqcaalW8Ll7mWUgfNBkdO8IFXyjh0V5eVHo3LgTbfC4DbXgEvK5VtCEMORS+qpBq/3cDUic&#10;fbnR6sDrWEsz6hOX217eRlEqrW6JLzR6wKcGq257sApkV8Xhfb08d6u3j9d793x+xGSn1PXVtHwA&#10;EXAKfzD86rM6lOy0dwcyXvQKZskdkwriOAbBeZJmPOwZjNI4A1kW8v8L5Q8AAAD//wMAUEsBAi0A&#10;FAAGAAgAAAAhALaDOJL+AAAA4QEAABMAAAAAAAAAAAAAAAAAAAAAAFtDb250ZW50X1R5cGVzXS54&#10;bWxQSwECLQAUAAYACAAAACEAOP0h/9YAAACUAQAACwAAAAAAAAAAAAAAAAAvAQAAX3JlbHMvLnJl&#10;bHNQSwECLQAUAAYACAAAACEAWtTOFlwCAADVBAAADgAAAAAAAAAAAAAAAAAuAgAAZHJzL2Uyb0Rv&#10;Yy54bWxQSwECLQAUAAYACAAAACEAhbd5AeEAAAAKAQAADwAAAAAAAAAAAAAAAAC2BAAAZHJzL2Rv&#10;d25yZXYueG1sUEsFBgAAAAAEAAQA8wAAAMQFAAAAAA==&#10;" fillcolor="white [3201]" strokecolor="#31849b [2408]" strokeweight="2.25pt">
                <v:textbox>
                  <w:txbxContent>
                    <w:p w:rsidR="00430B8E" w:rsidRPr="00413F84" w:rsidRDefault="00430B8E" w:rsidP="00413F84">
                      <w:pPr>
                        <w:pBdr>
                          <w:top w:val="nil"/>
                          <w:left w:val="nil"/>
                          <w:bottom w:val="nil"/>
                          <w:right w:val="nil"/>
                          <w:between w:val="nil"/>
                        </w:pBdr>
                        <w:spacing w:before="120" w:after="120" w:line="240" w:lineRule="auto"/>
                        <w:rPr>
                          <w:b/>
                          <w:color w:val="31849B" w:themeColor="accent5" w:themeShade="BF"/>
                          <w:sz w:val="32"/>
                        </w:rPr>
                      </w:pPr>
                      <w:r w:rsidRPr="00413F84">
                        <w:rPr>
                          <w:b/>
                          <w:color w:val="31849B" w:themeColor="accent5" w:themeShade="BF"/>
                          <w:sz w:val="32"/>
                        </w:rPr>
                        <w:t>Flood Managed Aquifer Recharge (Flood-MAR)</w:t>
                      </w:r>
                    </w:p>
                    <w:p w:rsidR="00430B8E" w:rsidRPr="00413F84" w:rsidRDefault="00430B8E" w:rsidP="00882B0E">
                      <w:pPr>
                        <w:shd w:val="clear" w:color="auto" w:fill="FFFFFF"/>
                        <w:spacing w:after="0" w:line="240" w:lineRule="auto"/>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“Flood-MAR” is an integrated and voluntary resource management strategy that uses flood water resulting from, or in anticipation of, rainfall or snow melt for managed aquifer recharge (MAR) on agricultural lands and working landscapes, including but not limited to refuges, floodplains, and flood bypasses. Flood-MAR can be implemented at multiple scales, from individual landowners diverting flood water with existing infrastructure, to using extensive detention/recharge areas and modernizing flood management infrastructure/operations.</w:t>
                      </w:r>
                    </w:p>
                    <w:p w:rsidR="00430B8E" w:rsidRDefault="00430B8E" w:rsidP="00882B0E">
                      <w:pPr>
                        <w:shd w:val="clear" w:color="auto" w:fill="FFFFFF"/>
                        <w:spacing w:after="0" w:line="240" w:lineRule="auto"/>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Flood-MAR projects can provide broad benefits for Californians and the ecosystems of the state, including:</w:t>
                      </w:r>
                    </w:p>
                    <w:p w:rsidR="00430B8E" w:rsidRPr="00413F84" w:rsidRDefault="00430B8E" w:rsidP="00882B0E">
                      <w:pPr>
                        <w:shd w:val="clear" w:color="auto" w:fill="FFFFFF"/>
                        <w:spacing w:after="0" w:line="240" w:lineRule="auto"/>
                        <w:rPr>
                          <w:rFonts w:asciiTheme="majorHAnsi" w:eastAsia="Times New Roman" w:hAnsiTheme="majorHAnsi" w:cstheme="majorHAnsi"/>
                          <w:color w:val="333333"/>
                          <w:sz w:val="20"/>
                          <w:szCs w:val="20"/>
                        </w:rPr>
                      </w:pP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Water supply reliability</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Flood risk reduction</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Drought Preparedness</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Aquifer Replenishment</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Ecosystem Enhancement</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Subsidence Mitigation</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Water Quality Improvement</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Working Landscape </w:t>
                      </w:r>
                      <w:r w:rsidRPr="00413F84">
                        <w:rPr>
                          <w:rFonts w:asciiTheme="majorHAnsi" w:eastAsia="Times New Roman" w:hAnsiTheme="majorHAnsi" w:cstheme="majorHAnsi"/>
                          <w:color w:val="333333"/>
                          <w:sz w:val="20"/>
                          <w:szCs w:val="20"/>
                        </w:rPr>
                        <w:br/>
                        <w:t>Preservation and Stewardship</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Climate Change Adaptation</w:t>
                      </w:r>
                    </w:p>
                    <w:p w:rsidR="00430B8E" w:rsidRPr="00413F84" w:rsidRDefault="00430B8E" w:rsidP="007E6CF5">
                      <w:pPr>
                        <w:numPr>
                          <w:ilvl w:val="0"/>
                          <w:numId w:val="12"/>
                        </w:numPr>
                        <w:shd w:val="clear" w:color="auto" w:fill="FFFFFF"/>
                        <w:tabs>
                          <w:tab w:val="clear" w:pos="720"/>
                          <w:tab w:val="num" w:pos="630"/>
                        </w:tabs>
                        <w:spacing w:after="0" w:line="240" w:lineRule="auto"/>
                        <w:ind w:left="540"/>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Recreation and Aesthetics</w:t>
                      </w:r>
                    </w:p>
                    <w:p w:rsidR="00430B8E" w:rsidRPr="00413F84" w:rsidRDefault="00430B8E" w:rsidP="00882B0E">
                      <w:pPr>
                        <w:shd w:val="clear" w:color="auto" w:fill="FFFFFF"/>
                        <w:spacing w:after="0" w:line="240" w:lineRule="auto"/>
                        <w:rPr>
                          <w:rFonts w:asciiTheme="majorHAnsi" w:eastAsia="Times New Roman" w:hAnsiTheme="majorHAnsi" w:cstheme="majorHAnsi"/>
                          <w:color w:val="333333"/>
                          <w:sz w:val="20"/>
                          <w:szCs w:val="20"/>
                        </w:rPr>
                      </w:pPr>
                    </w:p>
                    <w:p w:rsidR="00430B8E" w:rsidRPr="00413F84" w:rsidRDefault="00430B8E" w:rsidP="004634F1">
                      <w:pPr>
                        <w:shd w:val="clear" w:color="auto" w:fill="FFFFFF"/>
                        <w:spacing w:after="0" w:line="240" w:lineRule="auto"/>
                        <w:rPr>
                          <w:rFonts w:asciiTheme="majorHAnsi" w:eastAsia="Times New Roman" w:hAnsiTheme="majorHAnsi" w:cstheme="majorHAnsi"/>
                          <w:color w:val="333333"/>
                          <w:sz w:val="20"/>
                          <w:szCs w:val="20"/>
                        </w:rPr>
                      </w:pPr>
                      <w:r w:rsidRPr="00413F84">
                        <w:rPr>
                          <w:rFonts w:asciiTheme="majorHAnsi" w:eastAsia="Times New Roman" w:hAnsiTheme="majorHAnsi" w:cstheme="majorHAnsi"/>
                          <w:color w:val="333333"/>
                          <w:sz w:val="20"/>
                          <w:szCs w:val="20"/>
                        </w:rPr>
                        <w:t>There is strong, and growing, interest across the state in understanding the benefits, limitations, concerns, costs, and funding opportunities for Flood-MAR projects. DWR is working with other state, federal, Triba</w:t>
                      </w:r>
                      <w:r>
                        <w:rPr>
                          <w:rFonts w:asciiTheme="majorHAnsi" w:eastAsia="Times New Roman" w:hAnsiTheme="majorHAnsi" w:cstheme="majorHAnsi"/>
                          <w:color w:val="333333"/>
                          <w:sz w:val="20"/>
                          <w:szCs w:val="20"/>
                        </w:rPr>
                        <w:t>l, and local entities, academia,</w:t>
                      </w:r>
                      <w:r w:rsidRPr="00413F84">
                        <w:rPr>
                          <w:rFonts w:asciiTheme="majorHAnsi" w:eastAsia="Times New Roman" w:hAnsiTheme="majorHAnsi" w:cstheme="majorHAnsi"/>
                          <w:color w:val="333333"/>
                          <w:sz w:val="20"/>
                          <w:szCs w:val="20"/>
                        </w:rPr>
                        <w:t xml:space="preserve"> and landowners. Their </w:t>
                      </w:r>
                      <w:hyperlink r:id="rId52" w:history="1">
                        <w:r w:rsidRPr="00413F84">
                          <w:rPr>
                            <w:rStyle w:val="Hyperlink"/>
                            <w:rFonts w:asciiTheme="majorHAnsi" w:eastAsia="Times New Roman" w:hAnsiTheme="majorHAnsi" w:cstheme="majorHAnsi"/>
                            <w:sz w:val="20"/>
                            <w:szCs w:val="20"/>
                          </w:rPr>
                          <w:t>white paper can be found here</w:t>
                        </w:r>
                      </w:hyperlink>
                      <w:r w:rsidRPr="00413F84">
                        <w:rPr>
                          <w:rFonts w:asciiTheme="majorHAnsi" w:eastAsia="Times New Roman" w:hAnsiTheme="majorHAnsi" w:cstheme="majorHAnsi"/>
                          <w:color w:val="333333"/>
                          <w:sz w:val="20"/>
                          <w:szCs w:val="20"/>
                        </w:rPr>
                        <w:t>.  More informatio</w:t>
                      </w:r>
                      <w:r>
                        <w:rPr>
                          <w:rFonts w:asciiTheme="majorHAnsi" w:eastAsia="Times New Roman" w:hAnsiTheme="majorHAnsi" w:cstheme="majorHAnsi"/>
                          <w:color w:val="333333"/>
                          <w:sz w:val="20"/>
                          <w:szCs w:val="20"/>
                        </w:rPr>
                        <w:t xml:space="preserve">n can be found on </w:t>
                      </w:r>
                      <w:hyperlink r:id="rId53" w:history="1">
                        <w:r w:rsidRPr="00413F84">
                          <w:rPr>
                            <w:rStyle w:val="Hyperlink"/>
                            <w:rFonts w:asciiTheme="majorHAnsi" w:eastAsia="Times New Roman" w:hAnsiTheme="majorHAnsi" w:cstheme="majorHAnsi"/>
                            <w:sz w:val="20"/>
                            <w:szCs w:val="20"/>
                          </w:rPr>
                          <w:t>DWR’s website</w:t>
                        </w:r>
                      </w:hyperlink>
                      <w:r>
                        <w:rPr>
                          <w:rFonts w:asciiTheme="majorHAnsi" w:eastAsia="Times New Roman" w:hAnsiTheme="majorHAnsi" w:cstheme="majorHAnsi"/>
                          <w:color w:val="333333"/>
                          <w:sz w:val="20"/>
                          <w:szCs w:val="20"/>
                        </w:rPr>
                        <w:t>.</w:t>
                      </w:r>
                      <w:r w:rsidRPr="00413F84">
                        <w:rPr>
                          <w:rFonts w:asciiTheme="majorHAnsi" w:eastAsia="Times New Roman" w:hAnsiTheme="majorHAnsi" w:cstheme="majorHAnsi"/>
                          <w:color w:val="333333"/>
                          <w:sz w:val="20"/>
                          <w:szCs w:val="20"/>
                        </w:rPr>
                        <w:t xml:space="preserve"> </w:t>
                      </w:r>
                      <w:r>
                        <w:rPr>
                          <w:rFonts w:asciiTheme="majorHAnsi" w:eastAsia="Times New Roman" w:hAnsiTheme="majorHAnsi" w:cstheme="majorHAnsi"/>
                          <w:color w:val="333333"/>
                          <w:sz w:val="20"/>
                          <w:szCs w:val="20"/>
                        </w:rPr>
                        <w:t>Flood-MAR is a multi-benefit technique that can be used by GSAs when identifying ways to replenish basins.</w:t>
                      </w:r>
                    </w:p>
                  </w:txbxContent>
                </v:textbox>
                <w10:wrap type="square"/>
              </v:shape>
            </w:pict>
          </mc:Fallback>
        </mc:AlternateContent>
      </w:r>
    </w:p>
    <w:p w:rsidR="00B41C4B" w:rsidRPr="00B41C4B" w:rsidRDefault="004634F1" w:rsidP="004634F1">
      <w:pPr>
        <w:jc w:val="center"/>
        <w:rPr>
          <w:sz w:val="18"/>
          <w:szCs w:val="18"/>
        </w:rPr>
      </w:pPr>
      <w:r w:rsidRPr="004634F1">
        <w:rPr>
          <w:b/>
          <w:noProof/>
          <w:color w:val="000000"/>
          <w:sz w:val="20"/>
          <w:szCs w:val="20"/>
        </w:rPr>
        <w:drawing>
          <wp:anchor distT="0" distB="0" distL="114300" distR="114300" simplePos="0" relativeHeight="251683840" behindDoc="0" locked="0" layoutInCell="1" allowOverlap="1">
            <wp:simplePos x="0" y="0"/>
            <wp:positionH relativeFrom="column">
              <wp:posOffset>3095625</wp:posOffset>
            </wp:positionH>
            <wp:positionV relativeFrom="paragraph">
              <wp:posOffset>386715</wp:posOffset>
            </wp:positionV>
            <wp:extent cx="3070225" cy="37623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4069 watershed schematic overview_v5.jpg"/>
                    <pic:cNvPicPr/>
                  </pic:nvPicPr>
                  <pic:blipFill rotWithShape="1">
                    <a:blip r:embed="rId54" cstate="print">
                      <a:extLst>
                        <a:ext uri="{28A0092B-C50C-407E-A947-70E740481C1C}">
                          <a14:useLocalDpi xmlns:a14="http://schemas.microsoft.com/office/drawing/2010/main" val="0"/>
                        </a:ext>
                      </a:extLst>
                    </a:blip>
                    <a:srcRect l="10577" t="10650" r="11859" b="15917"/>
                    <a:stretch/>
                  </pic:blipFill>
                  <pic:spPr bwMode="auto">
                    <a:xfrm>
                      <a:off x="0" y="0"/>
                      <a:ext cx="3070225" cy="376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t>Flood-MAR i</w:t>
      </w:r>
      <w:r w:rsidR="00B41C4B" w:rsidRPr="004634F1">
        <w:rPr>
          <w:sz w:val="20"/>
          <w:szCs w:val="20"/>
        </w:rPr>
        <w:t>mage provided by the California Department of Water Resources.</w:t>
      </w:r>
    </w:p>
    <w:p w:rsidR="002B2541" w:rsidRDefault="002B2541" w:rsidP="002B2541">
      <w:pPr>
        <w:spacing w:after="0"/>
        <w:rPr>
          <w:b/>
          <w:color w:val="31849B" w:themeColor="accent5" w:themeShade="BF"/>
          <w:sz w:val="32"/>
        </w:rPr>
      </w:pPr>
      <w:r>
        <w:rPr>
          <w:b/>
          <w:color w:val="31849B" w:themeColor="accent5" w:themeShade="BF"/>
          <w:sz w:val="32"/>
        </w:rPr>
        <w:t>Groundwater Recharge Assessment Tool (GRAT)</w:t>
      </w:r>
    </w:p>
    <w:p w:rsidR="002B2541" w:rsidRDefault="002B2541" w:rsidP="00950E16">
      <w:pPr>
        <w:rPr>
          <w:b/>
          <w:color w:val="31849B" w:themeColor="accent5" w:themeShade="BF"/>
          <w:sz w:val="32"/>
        </w:rPr>
      </w:pPr>
      <w:r w:rsidRPr="002B2541">
        <w:rPr>
          <w:sz w:val="22"/>
          <w:szCs w:val="22"/>
        </w:rPr>
        <w:t xml:space="preserve">GRAT provides irrigation districts and GSAs with a decision support tool that will enable them to easily create and assess recharge scenarios. The tool enables water managers to evaluate </w:t>
      </w:r>
      <w:r w:rsidRPr="00950E16">
        <w:rPr>
          <w:i/>
          <w:iCs/>
          <w:sz w:val="22"/>
          <w:szCs w:val="22"/>
        </w:rPr>
        <w:t>where</w:t>
      </w:r>
      <w:r w:rsidRPr="002B2541">
        <w:rPr>
          <w:sz w:val="22"/>
          <w:szCs w:val="22"/>
        </w:rPr>
        <w:t xml:space="preserve"> (active cropland, fallow land, and dedicated recharge basins), </w:t>
      </w:r>
      <w:r w:rsidRPr="00950E16">
        <w:rPr>
          <w:i/>
          <w:iCs/>
          <w:sz w:val="22"/>
          <w:szCs w:val="22"/>
        </w:rPr>
        <w:t>when</w:t>
      </w:r>
      <w:r w:rsidRPr="002B2541">
        <w:rPr>
          <w:sz w:val="22"/>
          <w:szCs w:val="22"/>
        </w:rPr>
        <w:t xml:space="preserve"> (which weeks across multiple water year types, across a 20 year planning horizon) and </w:t>
      </w:r>
      <w:r w:rsidRPr="00950E16">
        <w:rPr>
          <w:i/>
          <w:iCs/>
          <w:sz w:val="22"/>
          <w:szCs w:val="22"/>
        </w:rPr>
        <w:t>how much</w:t>
      </w:r>
      <w:r w:rsidRPr="002B2541">
        <w:rPr>
          <w:sz w:val="22"/>
          <w:szCs w:val="22"/>
        </w:rPr>
        <w:t xml:space="preserve"> water will be recharged based on best available data and hydrologic, agronomic and geologic science. It enables GSA’s to see their most cost effective options and consider the unintended environmental and social impacts in their basins</w:t>
      </w:r>
      <w:r w:rsidR="00950E16">
        <w:rPr>
          <w:sz w:val="22"/>
          <w:szCs w:val="22"/>
        </w:rPr>
        <w:t xml:space="preserve">. Sustainable Conservation has developed a </w:t>
      </w:r>
      <w:hyperlink r:id="rId55" w:history="1">
        <w:r w:rsidR="00950E16" w:rsidRPr="00950E16">
          <w:rPr>
            <w:rStyle w:val="Hyperlink"/>
            <w:sz w:val="22"/>
            <w:szCs w:val="22"/>
          </w:rPr>
          <w:t>fact sheet</w:t>
        </w:r>
      </w:hyperlink>
      <w:r w:rsidR="00950E16">
        <w:rPr>
          <w:sz w:val="22"/>
          <w:szCs w:val="22"/>
        </w:rPr>
        <w:t xml:space="preserve"> and </w:t>
      </w:r>
      <w:hyperlink r:id="rId56" w:history="1">
        <w:r w:rsidR="00950E16" w:rsidRPr="00950E16">
          <w:rPr>
            <w:rStyle w:val="Hyperlink"/>
            <w:sz w:val="22"/>
            <w:szCs w:val="22"/>
          </w:rPr>
          <w:t>instruction manual</w:t>
        </w:r>
      </w:hyperlink>
      <w:r w:rsidR="00950E16">
        <w:rPr>
          <w:sz w:val="22"/>
          <w:szCs w:val="22"/>
        </w:rPr>
        <w:t xml:space="preserve"> for the GRAT. </w:t>
      </w:r>
      <w:r>
        <w:rPr>
          <w:b/>
          <w:color w:val="31849B" w:themeColor="accent5" w:themeShade="BF"/>
          <w:sz w:val="32"/>
        </w:rPr>
        <w:br w:type="page"/>
      </w:r>
    </w:p>
    <w:p w:rsidR="00B41C4B" w:rsidRPr="00B41C4B" w:rsidRDefault="00950E16" w:rsidP="004634F1">
      <w:pPr>
        <w:shd w:val="clear" w:color="auto" w:fill="FFFFFF"/>
        <w:spacing w:before="360" w:after="0" w:line="240" w:lineRule="auto"/>
        <w:rPr>
          <w:b/>
          <w:color w:val="31849B" w:themeColor="accent5" w:themeShade="BF"/>
          <w:sz w:val="32"/>
        </w:rPr>
      </w:pPr>
      <w:r w:rsidRPr="004634F1">
        <w:rPr>
          <w:b/>
          <w:noProof/>
          <w:color w:val="000000"/>
          <w:sz w:val="20"/>
          <w:szCs w:val="20"/>
        </w:rPr>
        <w:lastRenderedPageBreak/>
        <mc:AlternateContent>
          <mc:Choice Requires="wps">
            <w:drawing>
              <wp:anchor distT="0" distB="0" distL="114300" distR="114300" simplePos="0" relativeHeight="251687936" behindDoc="0" locked="0" layoutInCell="1" allowOverlap="1" wp14:anchorId="14E6407E" wp14:editId="6044D266">
                <wp:simplePos x="0" y="0"/>
                <wp:positionH relativeFrom="column">
                  <wp:posOffset>0</wp:posOffset>
                </wp:positionH>
                <wp:positionV relativeFrom="paragraph">
                  <wp:posOffset>19050</wp:posOffset>
                </wp:positionV>
                <wp:extent cx="2705100" cy="1914525"/>
                <wp:effectExtent l="19050" t="19050" r="19050" b="28575"/>
                <wp:wrapSquare wrapText="bothSides"/>
                <wp:docPr id="20" name="Text Box 20"/>
                <wp:cNvGraphicFramePr/>
                <a:graphic xmlns:a="http://schemas.openxmlformats.org/drawingml/2006/main">
                  <a:graphicData uri="http://schemas.microsoft.com/office/word/2010/wordprocessingShape">
                    <wps:wsp>
                      <wps:cNvSpPr txBox="1"/>
                      <wps:spPr>
                        <a:xfrm>
                          <a:off x="0" y="0"/>
                          <a:ext cx="2705100" cy="1914525"/>
                        </a:xfrm>
                        <a:prstGeom prst="rect">
                          <a:avLst/>
                        </a:prstGeom>
                        <a:solidFill>
                          <a:schemeClr val="lt1"/>
                        </a:solidFill>
                        <a:ln w="28575">
                          <a:solidFill>
                            <a:schemeClr val="accent5">
                              <a:lumMod val="75000"/>
                            </a:schemeClr>
                          </a:solidFill>
                        </a:ln>
                      </wps:spPr>
                      <wps:txbx>
                        <w:txbxContent>
                          <w:p w:rsidR="00430B8E" w:rsidRPr="00413F84" w:rsidRDefault="00430B8E" w:rsidP="007A11A1">
                            <w:pPr>
                              <w:pBdr>
                                <w:top w:val="nil"/>
                                <w:left w:val="nil"/>
                                <w:bottom w:val="nil"/>
                                <w:right w:val="nil"/>
                                <w:between w:val="nil"/>
                              </w:pBdr>
                              <w:spacing w:before="120" w:after="120" w:line="240" w:lineRule="auto"/>
                              <w:rPr>
                                <w:b/>
                                <w:color w:val="31849B" w:themeColor="accent5" w:themeShade="BF"/>
                                <w:sz w:val="32"/>
                              </w:rPr>
                            </w:pPr>
                            <w:r>
                              <w:rPr>
                                <w:b/>
                                <w:color w:val="31849B" w:themeColor="accent5" w:themeShade="BF"/>
                                <w:sz w:val="32"/>
                              </w:rPr>
                              <w:t xml:space="preserve">On-Farm Recharge of Annual Crops &amp; </w:t>
                            </w:r>
                            <w:proofErr w:type="spellStart"/>
                            <w:r>
                              <w:rPr>
                                <w:b/>
                                <w:color w:val="31849B" w:themeColor="accent5" w:themeShade="BF"/>
                                <w:sz w:val="32"/>
                              </w:rPr>
                              <w:t>Waterbird</w:t>
                            </w:r>
                            <w:proofErr w:type="spellEnd"/>
                            <w:r>
                              <w:rPr>
                                <w:b/>
                                <w:color w:val="31849B" w:themeColor="accent5" w:themeShade="BF"/>
                                <w:sz w:val="32"/>
                              </w:rPr>
                              <w:t xml:space="preserve"> Habitat Quick Reference Guide </w:t>
                            </w:r>
                          </w:p>
                          <w:p w:rsidR="00430B8E" w:rsidRPr="00413F84" w:rsidRDefault="00430B8E" w:rsidP="007A11A1">
                            <w:pPr>
                              <w:shd w:val="clear" w:color="auto" w:fill="FFFFFF"/>
                              <w:spacing w:after="0" w:line="240" w:lineRule="auto"/>
                              <w:rPr>
                                <w:rFonts w:asciiTheme="majorHAnsi" w:eastAsia="Times New Roman" w:hAnsiTheme="majorHAnsi" w:cstheme="majorHAnsi"/>
                                <w:color w:val="333333"/>
                                <w:sz w:val="20"/>
                                <w:szCs w:val="20"/>
                              </w:rPr>
                            </w:pPr>
                            <w:r>
                              <w:rPr>
                                <w:rFonts w:asciiTheme="majorHAnsi" w:eastAsia="Times New Roman" w:hAnsiTheme="majorHAnsi" w:cstheme="majorHAnsi"/>
                                <w:color w:val="333333"/>
                                <w:sz w:val="20"/>
                                <w:szCs w:val="20"/>
                              </w:rPr>
                              <w:t xml:space="preserve">The Migratory Bird Conservation Partnership developed an on-farm recharge of annual crops and water bird habitat </w:t>
                            </w:r>
                            <w:hyperlink r:id="rId57" w:history="1">
                              <w:r w:rsidRPr="007A11A1">
                                <w:rPr>
                                  <w:rStyle w:val="Hyperlink"/>
                                  <w:rFonts w:asciiTheme="majorHAnsi" w:eastAsia="Times New Roman" w:hAnsiTheme="majorHAnsi" w:cstheme="majorHAnsi"/>
                                  <w:sz w:val="20"/>
                                  <w:szCs w:val="20"/>
                                </w:rPr>
                                <w:t>reference guide</w:t>
                              </w:r>
                            </w:hyperlink>
                            <w:r>
                              <w:rPr>
                                <w:rFonts w:asciiTheme="majorHAnsi" w:eastAsia="Times New Roman" w:hAnsiTheme="majorHAnsi" w:cstheme="majorHAnsi"/>
                                <w:color w:val="333333"/>
                                <w:sz w:val="20"/>
                                <w:szCs w:val="20"/>
                              </w:rPr>
                              <w:t xml:space="preserve">. More information can be found online at: </w:t>
                            </w:r>
                            <w:hyperlink r:id="rId58" w:history="1">
                              <w:r w:rsidRPr="009164FD">
                                <w:rPr>
                                  <w:rStyle w:val="Hyperlink"/>
                                  <w:rFonts w:asciiTheme="majorHAnsi" w:eastAsia="Times New Roman" w:hAnsiTheme="majorHAnsi" w:cstheme="majorHAnsi"/>
                                  <w:sz w:val="20"/>
                                  <w:szCs w:val="20"/>
                                </w:rPr>
                                <w:t>www.camigratorybirds.org</w:t>
                              </w:r>
                            </w:hyperlink>
                            <w:r>
                              <w:rPr>
                                <w:rFonts w:asciiTheme="majorHAnsi" w:eastAsia="Times New Roman" w:hAnsiTheme="majorHAnsi" w:cstheme="majorHAnsi"/>
                                <w:color w:val="333333"/>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6407E" id="Text Box 20" o:spid="_x0000_s1037" type="#_x0000_t202" style="position:absolute;margin-left:0;margin-top:1.5pt;width:213pt;height:15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CSYAIAANUEAAAOAAAAZHJzL2Uyb0RvYy54bWysVMFu2zAMvQ/YPwi6r7aDemmDOkXWosOA&#10;ri2QDj0rstwYkEVNUmJ3X78nOUnTbqdhF4Ui6Sfy8TEXl0On2VY535KpeHGSc6aMpLo1zxX/8Xjz&#10;6YwzH4SphSajKv6iPL+cf/xw0duZmtCadK0cA4jxs95WfB2CnWWZl2vVCX9CVhkEG3KdCLi656x2&#10;ogd6p7NJnn/OenK1dSSV9/Bej0E+T/hNo2S4bxqvAtMVR20hnS6dq3hm8wsxe3bCrlu5K0P8QxWd&#10;aA0ePUBdiyDYxrV/QHWtdOSpCSeSuoyappUq9YBuivxdN8u1sCr1AnK8PdDk/x+svNs+ONbWFZ+A&#10;HiM6zOhRDYF9oYHBBX5662dIW1okhgF+zHnv93DGtofGdfEXDTHEAfVyYDeiSTgn07wscoQkYsV5&#10;cVpOyoiTvX5unQ9fFXUsGhV3GF9iVWxvfRhT9ynxNU+6rW9ardMlSkZdace2AsPWIRUJ8DdZ2rAe&#10;pZyV0zIhvwkm1b1CCCmVCWOe3nTfqR6hp2WONsZyDp+kPo7Q8LA2cEb2RpaiFYbVkNguDhSuqH4B&#10;s45GbXorb1p0fyt8eBAOYgRjWLBwj6PRhOppZ3G2Jvfrb/6YD40gylkPcVfc/9wIpzjT3wzUA/JP&#10;ARvS5bScxtm748jqOGI23RWB0gKrbGUyY37Qe7Nx1D1hDxfxVYSEkXi74mFvXoVx5bDHUi0WKQn6&#10;tyLcmqWVETqOMM72cXgSzu4EEKCdO9qvgZi908GYG780tNgEatokkkj0yOqOf+xOGs9uz+NyHt9T&#10;1uu/0fw3AAAA//8DAFBLAwQUAAYACAAAACEA1eDtwN0AAAAGAQAADwAAAGRycy9kb3ducmV2Lnht&#10;bEyPzU7DQAyE70i8w8pI3OiGNlQQsqkKAoF64KflAdysSaJkvVF224Y+Pe4JTvZorPE3+WJ0ndrT&#10;EBrPBq4nCSji0tuGKwNfm+erW1AhIlvsPJOBHwqwKM7PcsysP/An7dexUhLCIUMDdYx9pnUoa3IY&#10;Jr4nFu/bDw6jyKHSdsCDhLtOT5Nkrh02LB9q7OmxprJd75wB3Zaz+PaxPLar1/eXO/90fKB0Y8zl&#10;xbi8BxVpjH/HcMIXdCiEaet3bIPqDEiRaGAmQ8x0Opdle9LpDegi1//xi18AAAD//wMAUEsBAi0A&#10;FAAGAAgAAAAhALaDOJL+AAAA4QEAABMAAAAAAAAAAAAAAAAAAAAAAFtDb250ZW50X1R5cGVzXS54&#10;bWxQSwECLQAUAAYACAAAACEAOP0h/9YAAACUAQAACwAAAAAAAAAAAAAAAAAvAQAAX3JlbHMvLnJl&#10;bHNQSwECLQAUAAYACAAAACEAacOgkmACAADVBAAADgAAAAAAAAAAAAAAAAAuAgAAZHJzL2Uyb0Rv&#10;Yy54bWxQSwECLQAUAAYACAAAACEA1eDtwN0AAAAGAQAADwAAAAAAAAAAAAAAAAC6BAAAZHJzL2Rv&#10;d25yZXYueG1sUEsFBgAAAAAEAAQA8wAAAMQFAAAAAA==&#10;" fillcolor="white [3201]" strokecolor="#31849b [2408]" strokeweight="2.25pt">
                <v:textbox>
                  <w:txbxContent>
                    <w:p w:rsidR="00430B8E" w:rsidRPr="00413F84" w:rsidRDefault="00430B8E" w:rsidP="007A11A1">
                      <w:pPr>
                        <w:pBdr>
                          <w:top w:val="nil"/>
                          <w:left w:val="nil"/>
                          <w:bottom w:val="nil"/>
                          <w:right w:val="nil"/>
                          <w:between w:val="nil"/>
                        </w:pBdr>
                        <w:spacing w:before="120" w:after="120" w:line="240" w:lineRule="auto"/>
                        <w:rPr>
                          <w:b/>
                          <w:color w:val="31849B" w:themeColor="accent5" w:themeShade="BF"/>
                          <w:sz w:val="32"/>
                        </w:rPr>
                      </w:pPr>
                      <w:r>
                        <w:rPr>
                          <w:b/>
                          <w:color w:val="31849B" w:themeColor="accent5" w:themeShade="BF"/>
                          <w:sz w:val="32"/>
                        </w:rPr>
                        <w:t xml:space="preserve">On-Farm Recharge of Annual Crops &amp; Waterbird Habitat Quick Reference Guide </w:t>
                      </w:r>
                    </w:p>
                    <w:p w:rsidR="00430B8E" w:rsidRPr="00413F84" w:rsidRDefault="00430B8E" w:rsidP="007A11A1">
                      <w:pPr>
                        <w:shd w:val="clear" w:color="auto" w:fill="FFFFFF"/>
                        <w:spacing w:after="0" w:line="240" w:lineRule="auto"/>
                        <w:rPr>
                          <w:rFonts w:asciiTheme="majorHAnsi" w:eastAsia="Times New Roman" w:hAnsiTheme="majorHAnsi" w:cstheme="majorHAnsi"/>
                          <w:color w:val="333333"/>
                          <w:sz w:val="20"/>
                          <w:szCs w:val="20"/>
                        </w:rPr>
                      </w:pPr>
                      <w:r>
                        <w:rPr>
                          <w:rFonts w:asciiTheme="majorHAnsi" w:eastAsia="Times New Roman" w:hAnsiTheme="majorHAnsi" w:cstheme="majorHAnsi"/>
                          <w:color w:val="333333"/>
                          <w:sz w:val="20"/>
                          <w:szCs w:val="20"/>
                        </w:rPr>
                        <w:t xml:space="preserve">The Migratory Bird Conservation Partnership developed an on-farm recharge of annual crops and water bird habitat </w:t>
                      </w:r>
                      <w:hyperlink r:id="rId59" w:history="1">
                        <w:r w:rsidRPr="007A11A1">
                          <w:rPr>
                            <w:rStyle w:val="Hyperlink"/>
                            <w:rFonts w:asciiTheme="majorHAnsi" w:eastAsia="Times New Roman" w:hAnsiTheme="majorHAnsi" w:cstheme="majorHAnsi"/>
                            <w:sz w:val="20"/>
                            <w:szCs w:val="20"/>
                          </w:rPr>
                          <w:t>reference guide</w:t>
                        </w:r>
                      </w:hyperlink>
                      <w:r>
                        <w:rPr>
                          <w:rFonts w:asciiTheme="majorHAnsi" w:eastAsia="Times New Roman" w:hAnsiTheme="majorHAnsi" w:cstheme="majorHAnsi"/>
                          <w:color w:val="333333"/>
                          <w:sz w:val="20"/>
                          <w:szCs w:val="20"/>
                        </w:rPr>
                        <w:t xml:space="preserve">. More information can be found online at: </w:t>
                      </w:r>
                      <w:hyperlink r:id="rId60" w:history="1">
                        <w:r w:rsidRPr="009164FD">
                          <w:rPr>
                            <w:rStyle w:val="Hyperlink"/>
                            <w:rFonts w:asciiTheme="majorHAnsi" w:eastAsia="Times New Roman" w:hAnsiTheme="majorHAnsi" w:cstheme="majorHAnsi"/>
                            <w:sz w:val="20"/>
                            <w:szCs w:val="20"/>
                          </w:rPr>
                          <w:t>www.camigratorybirds.org</w:t>
                        </w:r>
                      </w:hyperlink>
                      <w:r>
                        <w:rPr>
                          <w:rFonts w:asciiTheme="majorHAnsi" w:eastAsia="Times New Roman" w:hAnsiTheme="majorHAnsi" w:cstheme="majorHAnsi"/>
                          <w:color w:val="333333"/>
                          <w:sz w:val="20"/>
                          <w:szCs w:val="20"/>
                        </w:rPr>
                        <w:t xml:space="preserve">. </w:t>
                      </w:r>
                    </w:p>
                  </w:txbxContent>
                </v:textbox>
                <w10:wrap type="square"/>
              </v:shape>
            </w:pict>
          </mc:Fallback>
        </mc:AlternateContent>
      </w:r>
      <w:r w:rsidR="00B41C4B" w:rsidRPr="00B41C4B">
        <w:rPr>
          <w:b/>
          <w:color w:val="31849B" w:themeColor="accent5" w:themeShade="BF"/>
          <w:sz w:val="32"/>
        </w:rPr>
        <w:t>Groundwater Markets</w:t>
      </w:r>
    </w:p>
    <w:p w:rsidR="00413F84" w:rsidRPr="009C6617" w:rsidRDefault="004634F1" w:rsidP="00E90CFD">
      <w:pPr>
        <w:rPr>
          <w:color w:val="0563C1"/>
          <w:sz w:val="22"/>
          <w:szCs w:val="22"/>
          <w:u w:val="single"/>
        </w:rPr>
      </w:pPr>
      <w:r w:rsidRPr="009C6617">
        <w:rPr>
          <w:color w:val="222222"/>
          <w:sz w:val="22"/>
          <w:szCs w:val="22"/>
        </w:rPr>
        <w:t xml:space="preserve">The Nature Conservancy, working with the Fox Canyon Groundwater Management Agency, </w:t>
      </w:r>
      <w:r w:rsidR="00413F84" w:rsidRPr="009C6617">
        <w:rPr>
          <w:color w:val="222222"/>
          <w:sz w:val="22"/>
          <w:szCs w:val="22"/>
        </w:rPr>
        <w:t>has prepared the first groundwat</w:t>
      </w:r>
      <w:r w:rsidRPr="009C6617">
        <w:rPr>
          <w:color w:val="222222"/>
          <w:sz w:val="22"/>
          <w:szCs w:val="22"/>
        </w:rPr>
        <w:t xml:space="preserve">er market to emerge under SGMA, called </w:t>
      </w:r>
      <w:r w:rsidR="00413F84" w:rsidRPr="009C6617">
        <w:rPr>
          <w:color w:val="222222"/>
          <w:sz w:val="22"/>
          <w:szCs w:val="22"/>
        </w:rPr>
        <w:t xml:space="preserve">the Fox Canyon </w:t>
      </w:r>
      <w:hyperlink r:id="rId61" w:history="1">
        <w:r w:rsidR="00B41C4B" w:rsidRPr="009C6617">
          <w:rPr>
            <w:rStyle w:val="Hyperlink"/>
            <w:sz w:val="22"/>
            <w:szCs w:val="22"/>
          </w:rPr>
          <w:t>Groundwater Market</w:t>
        </w:r>
      </w:hyperlink>
      <w:r w:rsidR="00413F84" w:rsidRPr="009C6617">
        <w:rPr>
          <w:color w:val="222222"/>
          <w:sz w:val="22"/>
          <w:szCs w:val="22"/>
        </w:rPr>
        <w:t xml:space="preserve">. This </w:t>
      </w:r>
      <w:hyperlink r:id="rId62" w:history="1">
        <w:r w:rsidRPr="009C6617">
          <w:rPr>
            <w:rStyle w:val="Hyperlink"/>
            <w:sz w:val="22"/>
            <w:szCs w:val="22"/>
          </w:rPr>
          <w:t>report</w:t>
        </w:r>
      </w:hyperlink>
      <w:r w:rsidR="00413F84" w:rsidRPr="009C6617">
        <w:rPr>
          <w:color w:val="222222"/>
          <w:sz w:val="22"/>
          <w:szCs w:val="22"/>
        </w:rPr>
        <w:t xml:space="preserve"> outlines the experience</w:t>
      </w:r>
      <w:r w:rsidRPr="009C6617">
        <w:rPr>
          <w:color w:val="222222"/>
          <w:sz w:val="22"/>
          <w:szCs w:val="22"/>
        </w:rPr>
        <w:t>s</w:t>
      </w:r>
      <w:r w:rsidR="00413F84" w:rsidRPr="009C6617">
        <w:rPr>
          <w:color w:val="222222"/>
          <w:sz w:val="22"/>
          <w:szCs w:val="22"/>
        </w:rPr>
        <w:t xml:space="preserve"> of the </w:t>
      </w:r>
      <w:r w:rsidRPr="009C6617">
        <w:rPr>
          <w:color w:val="222222"/>
          <w:sz w:val="22"/>
          <w:szCs w:val="22"/>
        </w:rPr>
        <w:t xml:space="preserve">local GSA </w:t>
      </w:r>
      <w:r w:rsidR="00413F84" w:rsidRPr="009C6617">
        <w:rPr>
          <w:color w:val="222222"/>
          <w:sz w:val="22"/>
          <w:szCs w:val="22"/>
        </w:rPr>
        <w:t>and its partners</w:t>
      </w:r>
      <w:r w:rsidRPr="009C6617">
        <w:rPr>
          <w:color w:val="222222"/>
          <w:sz w:val="22"/>
          <w:szCs w:val="22"/>
        </w:rPr>
        <w:t xml:space="preserve">, steps taken, </w:t>
      </w:r>
      <w:r w:rsidR="00413F84" w:rsidRPr="009C6617">
        <w:rPr>
          <w:color w:val="222222"/>
          <w:sz w:val="22"/>
          <w:szCs w:val="22"/>
        </w:rPr>
        <w:t>and lessons learned</w:t>
      </w:r>
      <w:r w:rsidRPr="009C6617">
        <w:rPr>
          <w:color w:val="222222"/>
          <w:sz w:val="22"/>
          <w:szCs w:val="22"/>
        </w:rPr>
        <w:t xml:space="preserve"> </w:t>
      </w:r>
      <w:r w:rsidR="00413F84" w:rsidRPr="009C6617">
        <w:rPr>
          <w:color w:val="222222"/>
          <w:sz w:val="22"/>
          <w:szCs w:val="22"/>
        </w:rPr>
        <w:t xml:space="preserve">in developing </w:t>
      </w:r>
      <w:r w:rsidRPr="009C6617">
        <w:rPr>
          <w:color w:val="222222"/>
          <w:sz w:val="22"/>
          <w:szCs w:val="22"/>
        </w:rPr>
        <w:t xml:space="preserve">a unique, algorithmic </w:t>
      </w:r>
      <w:r w:rsidR="00413F84" w:rsidRPr="009C6617">
        <w:rPr>
          <w:color w:val="222222"/>
          <w:sz w:val="22"/>
          <w:szCs w:val="22"/>
        </w:rPr>
        <w:t>groundwater market</w:t>
      </w:r>
      <w:r w:rsidRPr="009C6617">
        <w:rPr>
          <w:color w:val="222222"/>
          <w:sz w:val="22"/>
          <w:szCs w:val="22"/>
        </w:rPr>
        <w:t xml:space="preserve"> to match voluntary stakeholders who have high water supply with those who are in need of water for groundwater replenishment in their basin</w:t>
      </w:r>
      <w:r w:rsidR="00413F84" w:rsidRPr="009C6617">
        <w:rPr>
          <w:color w:val="222222"/>
          <w:sz w:val="22"/>
          <w:szCs w:val="22"/>
        </w:rPr>
        <w:t xml:space="preserve">. </w:t>
      </w:r>
      <w:r w:rsidR="00E90CFD">
        <w:rPr>
          <w:color w:val="222222"/>
          <w:sz w:val="22"/>
          <w:szCs w:val="22"/>
        </w:rPr>
        <w:t xml:space="preserve">PPIC also recently published a fact sheet on </w:t>
      </w:r>
      <w:hyperlink r:id="rId63" w:history="1">
        <w:r w:rsidR="00E90CFD" w:rsidRPr="00E90CFD">
          <w:rPr>
            <w:rStyle w:val="Hyperlink"/>
            <w:sz w:val="22"/>
            <w:szCs w:val="22"/>
          </w:rPr>
          <w:t>California’s water market</w:t>
        </w:r>
      </w:hyperlink>
      <w:r w:rsidR="00E90CFD">
        <w:rPr>
          <w:color w:val="222222"/>
          <w:sz w:val="22"/>
          <w:szCs w:val="22"/>
        </w:rPr>
        <w:t xml:space="preserve"> in May of 2019, which concludes that information regarding water availability could help reform California’s overall water market.</w:t>
      </w:r>
    </w:p>
    <w:p w:rsidR="00413F84" w:rsidRPr="004634F1" w:rsidRDefault="004634F1">
      <w:pPr>
        <w:shd w:val="clear" w:color="auto" w:fill="FFFFFF"/>
        <w:spacing w:after="0" w:line="240" w:lineRule="auto"/>
        <w:rPr>
          <w:b/>
          <w:color w:val="31849B" w:themeColor="accent5" w:themeShade="BF"/>
          <w:sz w:val="32"/>
        </w:rPr>
      </w:pPr>
      <w:r w:rsidRPr="004634F1">
        <w:rPr>
          <w:b/>
          <w:color w:val="31849B" w:themeColor="accent5" w:themeShade="BF"/>
          <w:sz w:val="32"/>
        </w:rPr>
        <w:t>Groundwater Dependent Ecosystem Tool</w:t>
      </w:r>
    </w:p>
    <w:p w:rsidR="009C6617" w:rsidRPr="009C6617" w:rsidRDefault="006654B0" w:rsidP="009C6617">
      <w:pPr>
        <w:shd w:val="clear" w:color="auto" w:fill="FFFFFF"/>
        <w:spacing w:after="0" w:line="276" w:lineRule="auto"/>
        <w:rPr>
          <w:rFonts w:asciiTheme="majorHAnsi" w:hAnsiTheme="majorHAnsi" w:cstheme="majorHAnsi"/>
          <w:color w:val="222222"/>
          <w:sz w:val="22"/>
          <w:szCs w:val="22"/>
        </w:rPr>
      </w:pPr>
      <w:r w:rsidRPr="009C6617">
        <w:rPr>
          <w:rFonts w:asciiTheme="majorHAnsi" w:hAnsiTheme="majorHAnsi" w:cstheme="majorHAnsi"/>
          <w:color w:val="222222"/>
          <w:sz w:val="22"/>
          <w:szCs w:val="22"/>
        </w:rPr>
        <w:t xml:space="preserve">Identifying the </w:t>
      </w:r>
      <w:hyperlink r:id="rId64" w:history="1">
        <w:r w:rsidRPr="009C6617">
          <w:rPr>
            <w:rStyle w:val="Hyperlink"/>
            <w:rFonts w:asciiTheme="majorHAnsi" w:hAnsiTheme="majorHAnsi" w:cstheme="majorHAnsi"/>
            <w:sz w:val="22"/>
            <w:szCs w:val="22"/>
          </w:rPr>
          <w:t>g</w:t>
        </w:r>
        <w:r w:rsidR="00550C0C" w:rsidRPr="009C6617">
          <w:rPr>
            <w:rStyle w:val="Hyperlink"/>
            <w:rFonts w:asciiTheme="majorHAnsi" w:hAnsiTheme="majorHAnsi" w:cstheme="majorHAnsi"/>
            <w:sz w:val="22"/>
            <w:szCs w:val="22"/>
          </w:rPr>
          <w:t>roundwater dependent ecosystems</w:t>
        </w:r>
      </w:hyperlink>
      <w:r w:rsidR="00550C0C" w:rsidRPr="009C6617">
        <w:rPr>
          <w:rFonts w:asciiTheme="majorHAnsi" w:hAnsiTheme="majorHAnsi" w:cstheme="majorHAnsi"/>
          <w:color w:val="222222"/>
          <w:sz w:val="22"/>
          <w:szCs w:val="22"/>
        </w:rPr>
        <w:t xml:space="preserve"> </w:t>
      </w:r>
      <w:r w:rsidR="009C6617" w:rsidRPr="009C6617">
        <w:rPr>
          <w:rFonts w:asciiTheme="majorHAnsi" w:hAnsiTheme="majorHAnsi" w:cstheme="majorHAnsi"/>
          <w:color w:val="222222"/>
          <w:sz w:val="22"/>
          <w:szCs w:val="22"/>
        </w:rPr>
        <w:t xml:space="preserve">and list of freshwater species located within groundwater basins can be used by GSAs to better evaluate the impacts </w:t>
      </w:r>
      <w:r w:rsidRPr="009C6617">
        <w:rPr>
          <w:rFonts w:asciiTheme="majorHAnsi" w:hAnsiTheme="majorHAnsi" w:cstheme="majorHAnsi"/>
          <w:color w:val="222222"/>
          <w:sz w:val="22"/>
          <w:szCs w:val="22"/>
        </w:rPr>
        <w:t>in determining where and when to replenish groundwater basins</w:t>
      </w:r>
      <w:r w:rsidR="009C6617" w:rsidRPr="009C6617">
        <w:rPr>
          <w:rFonts w:asciiTheme="majorHAnsi" w:hAnsiTheme="majorHAnsi" w:cstheme="majorHAnsi"/>
          <w:color w:val="222222"/>
          <w:sz w:val="22"/>
          <w:szCs w:val="22"/>
        </w:rPr>
        <w:t xml:space="preserve"> </w:t>
      </w:r>
      <w:r w:rsidR="009C6617" w:rsidRPr="009C6617">
        <w:rPr>
          <w:rFonts w:asciiTheme="majorHAnsi" w:eastAsia="Times New Roman" w:hAnsiTheme="majorHAnsi" w:cstheme="majorHAnsi"/>
          <w:color w:val="000000"/>
          <w:sz w:val="22"/>
          <w:szCs w:val="22"/>
        </w:rPr>
        <w:t>and identify critical groundwater level thresholds to maintain to promote ecosystem health.</w:t>
      </w:r>
      <w:r w:rsidR="00750B95" w:rsidRPr="009C6617">
        <w:rPr>
          <w:rFonts w:asciiTheme="majorHAnsi" w:hAnsiTheme="majorHAnsi" w:cstheme="majorHAnsi"/>
          <w:color w:val="222222"/>
          <w:sz w:val="22"/>
          <w:szCs w:val="22"/>
        </w:rPr>
        <w:t xml:space="preserve"> The Nature Conservancy </w:t>
      </w:r>
      <w:r w:rsidRPr="009C6617">
        <w:rPr>
          <w:rFonts w:asciiTheme="majorHAnsi" w:hAnsiTheme="majorHAnsi" w:cstheme="majorHAnsi"/>
          <w:color w:val="222222"/>
          <w:sz w:val="22"/>
          <w:szCs w:val="22"/>
        </w:rPr>
        <w:t xml:space="preserve">has </w:t>
      </w:r>
      <w:r w:rsidR="009C6617" w:rsidRPr="009C6617">
        <w:rPr>
          <w:rFonts w:asciiTheme="majorHAnsi" w:hAnsiTheme="majorHAnsi" w:cstheme="majorHAnsi"/>
          <w:color w:val="222222"/>
          <w:sz w:val="22"/>
          <w:szCs w:val="22"/>
        </w:rPr>
        <w:t xml:space="preserve">also </w:t>
      </w:r>
      <w:r w:rsidRPr="009C6617">
        <w:rPr>
          <w:rFonts w:asciiTheme="majorHAnsi" w:hAnsiTheme="majorHAnsi" w:cstheme="majorHAnsi"/>
          <w:color w:val="222222"/>
          <w:sz w:val="22"/>
          <w:szCs w:val="22"/>
        </w:rPr>
        <w:t xml:space="preserve">developed a </w:t>
      </w:r>
      <w:hyperlink r:id="rId65" w:anchor="/home" w:history="1">
        <w:r w:rsidRPr="009C6617">
          <w:rPr>
            <w:rStyle w:val="Hyperlink"/>
            <w:rFonts w:asciiTheme="majorHAnsi" w:hAnsiTheme="majorHAnsi" w:cstheme="majorHAnsi"/>
            <w:sz w:val="22"/>
            <w:szCs w:val="22"/>
          </w:rPr>
          <w:t>Groundwater Dependent Ecosystems (GDE) Pulse Tool</w:t>
        </w:r>
      </w:hyperlink>
      <w:r w:rsidRPr="009C6617">
        <w:rPr>
          <w:rFonts w:asciiTheme="majorHAnsi" w:hAnsiTheme="majorHAnsi" w:cstheme="majorHAnsi"/>
          <w:color w:val="222222"/>
          <w:sz w:val="22"/>
          <w:szCs w:val="22"/>
        </w:rPr>
        <w:t xml:space="preserve"> that provides data and information on how GDEs have changed over the last 30 years, </w:t>
      </w:r>
      <w:r w:rsidR="009C6617" w:rsidRPr="009C6617">
        <w:rPr>
          <w:rFonts w:asciiTheme="majorHAnsi" w:hAnsiTheme="majorHAnsi" w:cstheme="majorHAnsi"/>
          <w:color w:val="222222"/>
          <w:sz w:val="22"/>
          <w:szCs w:val="22"/>
        </w:rPr>
        <w:t xml:space="preserve">trends in </w:t>
      </w:r>
      <w:r w:rsidRPr="009C6617">
        <w:rPr>
          <w:rFonts w:asciiTheme="majorHAnsi" w:hAnsiTheme="majorHAnsi" w:cstheme="majorHAnsi"/>
          <w:color w:val="222222"/>
          <w:sz w:val="22"/>
          <w:szCs w:val="22"/>
        </w:rPr>
        <w:t>groundwater levels,</w:t>
      </w:r>
      <w:r w:rsidR="009C6617" w:rsidRPr="009C6617">
        <w:rPr>
          <w:rFonts w:asciiTheme="majorHAnsi" w:eastAsia="Times New Roman" w:hAnsiTheme="majorHAnsi" w:cstheme="majorHAnsi"/>
          <w:color w:val="000000"/>
          <w:sz w:val="22"/>
          <w:szCs w:val="22"/>
        </w:rPr>
        <w:t xml:space="preserve"> </w:t>
      </w:r>
      <w:r w:rsidR="009C6617" w:rsidRPr="009C6617">
        <w:rPr>
          <w:rFonts w:asciiTheme="majorHAnsi" w:hAnsiTheme="majorHAnsi" w:cstheme="majorHAnsi"/>
          <w:color w:val="222222"/>
          <w:sz w:val="22"/>
          <w:szCs w:val="22"/>
        </w:rPr>
        <w:t>and rainfall with an interactive map and charting interface.</w:t>
      </w:r>
      <w:r w:rsidRPr="009C6617">
        <w:rPr>
          <w:rFonts w:asciiTheme="majorHAnsi" w:hAnsiTheme="majorHAnsi" w:cstheme="majorHAnsi"/>
          <w:color w:val="222222"/>
          <w:sz w:val="22"/>
          <w:szCs w:val="22"/>
        </w:rPr>
        <w:t xml:space="preserve">  </w:t>
      </w:r>
    </w:p>
    <w:p w:rsidR="007F09C3" w:rsidRPr="009C6617" w:rsidRDefault="00550C0C" w:rsidP="0039593D">
      <w:pPr>
        <w:spacing w:before="120" w:after="120" w:line="240" w:lineRule="auto"/>
        <w:rPr>
          <w:b/>
          <w:color w:val="31849B" w:themeColor="accent5" w:themeShade="BF"/>
          <w:sz w:val="32"/>
        </w:rPr>
      </w:pPr>
      <w:r w:rsidRPr="009C6617">
        <w:rPr>
          <w:b/>
          <w:color w:val="31849B" w:themeColor="accent5" w:themeShade="BF"/>
          <w:sz w:val="32"/>
        </w:rPr>
        <w:t xml:space="preserve">Water Quality </w:t>
      </w:r>
      <w:r w:rsidR="009C6617">
        <w:rPr>
          <w:b/>
          <w:color w:val="31849B" w:themeColor="accent5" w:themeShade="BF"/>
          <w:sz w:val="32"/>
        </w:rPr>
        <w:t>Impacts</w:t>
      </w:r>
    </w:p>
    <w:p w:rsidR="00550C0C" w:rsidRPr="007A11A1" w:rsidRDefault="009C6617" w:rsidP="007A11A1">
      <w:pPr>
        <w:spacing w:after="0" w:line="276" w:lineRule="auto"/>
        <w:rPr>
          <w:sz w:val="22"/>
          <w:szCs w:val="22"/>
        </w:rPr>
      </w:pPr>
      <w:r w:rsidRPr="007A11A1">
        <w:rPr>
          <w:sz w:val="22"/>
          <w:szCs w:val="22"/>
        </w:rPr>
        <w:t xml:space="preserve">Stanford’s Water in the West Program developed a report in </w:t>
      </w:r>
      <w:proofErr w:type="gramStart"/>
      <w:r w:rsidRPr="007A11A1">
        <w:rPr>
          <w:sz w:val="22"/>
          <w:szCs w:val="22"/>
        </w:rPr>
        <w:t>Spring</w:t>
      </w:r>
      <w:proofErr w:type="gramEnd"/>
      <w:r w:rsidRPr="007A11A1">
        <w:rPr>
          <w:sz w:val="22"/>
          <w:szCs w:val="22"/>
        </w:rPr>
        <w:t xml:space="preserve"> of 2019 entitled, </w:t>
      </w:r>
      <w:hyperlink r:id="rId66" w:history="1">
        <w:r w:rsidRPr="007A11A1">
          <w:rPr>
            <w:rStyle w:val="Hyperlink"/>
            <w:i/>
            <w:iCs/>
            <w:sz w:val="22"/>
            <w:szCs w:val="22"/>
          </w:rPr>
          <w:t>A Guide to Water Quality Requirements under the Sustainable Groundwater Management Act</w:t>
        </w:r>
      </w:hyperlink>
      <w:r w:rsidRPr="007A11A1">
        <w:rPr>
          <w:i/>
          <w:iCs/>
          <w:sz w:val="22"/>
          <w:szCs w:val="22"/>
        </w:rPr>
        <w:t>.</w:t>
      </w:r>
      <w:r w:rsidRPr="007A11A1">
        <w:rPr>
          <w:sz w:val="22"/>
          <w:szCs w:val="22"/>
        </w:rPr>
        <w:t xml:space="preserve"> The report discusses at-length water quality considerations as they relate to SGMA but also provides some helpful context as it relates to groundwater recharge. The report recognizes that g</w:t>
      </w:r>
      <w:r w:rsidR="00550C0C" w:rsidRPr="007A11A1">
        <w:rPr>
          <w:sz w:val="22"/>
          <w:szCs w:val="22"/>
        </w:rPr>
        <w:t>roundwater recharge and other forms of active aquifer management are important tools for sustainable groundwater management, with potential to improve both groundwater su</w:t>
      </w:r>
      <w:r w:rsidRPr="007A11A1">
        <w:rPr>
          <w:sz w:val="22"/>
          <w:szCs w:val="22"/>
        </w:rPr>
        <w:t xml:space="preserve">pplies and groundwater quality. However, the report also addresses </w:t>
      </w:r>
      <w:r w:rsidR="007A11A1" w:rsidRPr="007A11A1">
        <w:rPr>
          <w:sz w:val="22"/>
          <w:szCs w:val="22"/>
        </w:rPr>
        <w:t xml:space="preserve">that </w:t>
      </w:r>
      <w:r w:rsidR="00550C0C" w:rsidRPr="007A11A1">
        <w:rPr>
          <w:sz w:val="22"/>
          <w:szCs w:val="22"/>
        </w:rPr>
        <w:t xml:space="preserve">some research also indicates that groundwater recharge via recharge ponds and/or direct injection </w:t>
      </w:r>
      <w:r w:rsidR="007A11A1" w:rsidRPr="007A11A1">
        <w:rPr>
          <w:sz w:val="22"/>
          <w:szCs w:val="22"/>
        </w:rPr>
        <w:t xml:space="preserve">could have </w:t>
      </w:r>
      <w:r w:rsidR="00550C0C" w:rsidRPr="007A11A1">
        <w:rPr>
          <w:sz w:val="22"/>
          <w:szCs w:val="22"/>
        </w:rPr>
        <w:t>the potential to mobilize naturally occurring constituents</w:t>
      </w:r>
      <w:r w:rsidR="007A11A1" w:rsidRPr="007A11A1">
        <w:rPr>
          <w:sz w:val="22"/>
          <w:szCs w:val="22"/>
        </w:rPr>
        <w:t xml:space="preserve"> </w:t>
      </w:r>
      <w:r w:rsidR="00550C0C" w:rsidRPr="007A11A1">
        <w:rPr>
          <w:sz w:val="22"/>
          <w:szCs w:val="22"/>
        </w:rPr>
        <w:t>or mobilize or expand contaminant plumes</w:t>
      </w:r>
      <w:r w:rsidR="007A11A1" w:rsidRPr="007A11A1">
        <w:rPr>
          <w:sz w:val="22"/>
          <w:szCs w:val="22"/>
        </w:rPr>
        <w:t xml:space="preserve">. These are considerations that GSAs could find helpful when exploring replenishment management activities. </w:t>
      </w:r>
    </w:p>
    <w:p w:rsidR="00103245" w:rsidRDefault="0039593D" w:rsidP="00950E16">
      <w:r w:rsidRPr="004634F1">
        <w:rPr>
          <w:b/>
          <w:noProof/>
          <w:color w:val="000000"/>
          <w:sz w:val="20"/>
          <w:szCs w:val="20"/>
        </w:rPr>
        <mc:AlternateContent>
          <mc:Choice Requires="wps">
            <w:drawing>
              <wp:anchor distT="0" distB="0" distL="114300" distR="114300" simplePos="0" relativeHeight="251693056" behindDoc="0" locked="0" layoutInCell="1" allowOverlap="1" wp14:anchorId="137CC36D" wp14:editId="3461E0C0">
                <wp:simplePos x="0" y="0"/>
                <wp:positionH relativeFrom="column">
                  <wp:posOffset>0</wp:posOffset>
                </wp:positionH>
                <wp:positionV relativeFrom="paragraph">
                  <wp:posOffset>56515</wp:posOffset>
                </wp:positionV>
                <wp:extent cx="5581650" cy="1362075"/>
                <wp:effectExtent l="19050" t="19050" r="19050" b="28575"/>
                <wp:wrapSquare wrapText="bothSides"/>
                <wp:docPr id="10" name="Text Box 10"/>
                <wp:cNvGraphicFramePr/>
                <a:graphic xmlns:a="http://schemas.openxmlformats.org/drawingml/2006/main">
                  <a:graphicData uri="http://schemas.microsoft.com/office/word/2010/wordprocessingShape">
                    <wps:wsp>
                      <wps:cNvSpPr txBox="1"/>
                      <wps:spPr>
                        <a:xfrm>
                          <a:off x="0" y="0"/>
                          <a:ext cx="5581650" cy="1362075"/>
                        </a:xfrm>
                        <a:prstGeom prst="rect">
                          <a:avLst/>
                        </a:prstGeom>
                        <a:solidFill>
                          <a:schemeClr val="lt1"/>
                        </a:solidFill>
                        <a:ln w="28575">
                          <a:solidFill>
                            <a:schemeClr val="accent5">
                              <a:lumMod val="75000"/>
                            </a:schemeClr>
                          </a:solidFill>
                        </a:ln>
                      </wps:spPr>
                      <wps:txbx>
                        <w:txbxContent>
                          <w:p w:rsidR="00430B8E" w:rsidRPr="0039593D" w:rsidRDefault="00430B8E" w:rsidP="0039593D">
                            <w:pPr>
                              <w:pBdr>
                                <w:top w:val="nil"/>
                                <w:left w:val="nil"/>
                                <w:bottom w:val="nil"/>
                                <w:right w:val="nil"/>
                                <w:between w:val="nil"/>
                              </w:pBdr>
                              <w:spacing w:after="120" w:line="240" w:lineRule="auto"/>
                              <w:rPr>
                                <w:b/>
                                <w:color w:val="31849B" w:themeColor="accent5" w:themeShade="BF"/>
                                <w:sz w:val="32"/>
                              </w:rPr>
                            </w:pPr>
                            <w:r>
                              <w:rPr>
                                <w:b/>
                                <w:color w:val="31849B" w:themeColor="accent5" w:themeShade="BF"/>
                                <w:sz w:val="32"/>
                              </w:rPr>
                              <w:t>“</w:t>
                            </w:r>
                            <w:r w:rsidRPr="0039593D">
                              <w:rPr>
                                <w:b/>
                                <w:color w:val="31849B" w:themeColor="accent5" w:themeShade="BF"/>
                                <w:sz w:val="32"/>
                              </w:rPr>
                              <w:t>Recharge Roundtable Call to Action</w:t>
                            </w:r>
                            <w:r>
                              <w:rPr>
                                <w:b/>
                                <w:color w:val="31849B" w:themeColor="accent5" w:themeShade="BF"/>
                                <w:sz w:val="32"/>
                              </w:rPr>
                              <w:t>” Report</w:t>
                            </w:r>
                            <w:r w:rsidRPr="0039593D">
                              <w:rPr>
                                <w:b/>
                                <w:color w:val="31849B" w:themeColor="accent5" w:themeShade="BF"/>
                                <w:sz w:val="32"/>
                              </w:rPr>
                              <w:t xml:space="preserve"> </w:t>
                            </w:r>
                          </w:p>
                          <w:p w:rsidR="00430B8E" w:rsidRPr="00413F84" w:rsidRDefault="00430B8E" w:rsidP="00463E18">
                            <w:pPr>
                              <w:shd w:val="clear" w:color="auto" w:fill="FFFFFF"/>
                              <w:spacing w:after="0" w:line="240" w:lineRule="auto"/>
                              <w:rPr>
                                <w:rFonts w:asciiTheme="majorHAnsi" w:eastAsia="Times New Roman" w:hAnsiTheme="majorHAnsi" w:cstheme="majorHAnsi"/>
                                <w:color w:val="333333"/>
                                <w:sz w:val="20"/>
                                <w:szCs w:val="20"/>
                              </w:rPr>
                            </w:pPr>
                            <w:r w:rsidRPr="0039593D">
                              <w:rPr>
                                <w:rFonts w:asciiTheme="majorHAnsi" w:eastAsia="Times New Roman" w:hAnsiTheme="majorHAnsi" w:cstheme="majorHAnsi"/>
                                <w:color w:val="333333"/>
                                <w:sz w:val="20"/>
                                <w:szCs w:val="20"/>
                              </w:rPr>
                              <w:t>As a collaboration between the </w:t>
                            </w:r>
                            <w:hyperlink r:id="rId67" w:history="1">
                              <w:r w:rsidRPr="0039593D">
                                <w:rPr>
                                  <w:rStyle w:val="Hyperlink"/>
                                  <w:rFonts w:asciiTheme="majorHAnsi" w:eastAsia="Times New Roman" w:hAnsiTheme="majorHAnsi" w:cstheme="majorHAnsi"/>
                                  <w:sz w:val="20"/>
                                  <w:szCs w:val="20"/>
                                </w:rPr>
                                <w:t>Groundwater Resources Association of California</w:t>
                              </w:r>
                            </w:hyperlink>
                            <w:r w:rsidRPr="0039593D">
                              <w:rPr>
                                <w:rFonts w:asciiTheme="majorHAnsi" w:eastAsia="Times New Roman" w:hAnsiTheme="majorHAnsi" w:cstheme="majorHAnsi"/>
                                <w:color w:val="333333"/>
                                <w:sz w:val="20"/>
                                <w:szCs w:val="20"/>
                              </w:rPr>
                              <w:t> and the </w:t>
                            </w:r>
                            <w:hyperlink r:id="rId68" w:history="1">
                              <w:r w:rsidRPr="0039593D">
                                <w:rPr>
                                  <w:rStyle w:val="Hyperlink"/>
                                  <w:rFonts w:asciiTheme="majorHAnsi" w:eastAsia="Times New Roman" w:hAnsiTheme="majorHAnsi" w:cstheme="majorHAnsi"/>
                                  <w:sz w:val="20"/>
                                  <w:szCs w:val="20"/>
                                </w:rPr>
                                <w:t>University of California Water Security and Sustainability Research Initiative</w:t>
                              </w:r>
                            </w:hyperlink>
                            <w:r w:rsidRPr="0039593D">
                              <w:rPr>
                                <w:rFonts w:asciiTheme="majorHAnsi" w:eastAsia="Times New Roman" w:hAnsiTheme="majorHAnsi" w:cstheme="majorHAnsi"/>
                                <w:color w:val="333333"/>
                                <w:sz w:val="20"/>
                                <w:szCs w:val="20"/>
                              </w:rPr>
                              <w:t xml:space="preserve">, </w:t>
                            </w:r>
                            <w:r>
                              <w:rPr>
                                <w:rFonts w:asciiTheme="majorHAnsi" w:eastAsia="Times New Roman" w:hAnsiTheme="majorHAnsi" w:cstheme="majorHAnsi"/>
                                <w:color w:val="333333"/>
                                <w:sz w:val="20"/>
                                <w:szCs w:val="20"/>
                              </w:rPr>
                              <w:t>the “</w:t>
                            </w:r>
                            <w:hyperlink r:id="rId69" w:history="1">
                              <w:r w:rsidRPr="0039593D">
                                <w:rPr>
                                  <w:rStyle w:val="Hyperlink"/>
                                  <w:rFonts w:asciiTheme="majorHAnsi" w:eastAsia="Times New Roman" w:hAnsiTheme="majorHAnsi" w:cstheme="majorHAnsi"/>
                                  <w:sz w:val="20"/>
                                  <w:szCs w:val="20"/>
                                </w:rPr>
                                <w:t>Recharge Roundtable Call to Action” Report</w:t>
                              </w:r>
                            </w:hyperlink>
                            <w:r>
                              <w:rPr>
                                <w:rFonts w:asciiTheme="majorHAnsi" w:eastAsia="Times New Roman" w:hAnsiTheme="majorHAnsi" w:cstheme="majorHAnsi"/>
                                <w:color w:val="333333"/>
                                <w:sz w:val="20"/>
                                <w:szCs w:val="20"/>
                              </w:rPr>
                              <w:t xml:space="preserve"> aims</w:t>
                            </w:r>
                            <w:r w:rsidRPr="0039593D">
                              <w:rPr>
                                <w:rFonts w:asciiTheme="majorHAnsi" w:eastAsia="Times New Roman" w:hAnsiTheme="majorHAnsi" w:cstheme="majorHAnsi"/>
                                <w:color w:val="333333"/>
                                <w:sz w:val="20"/>
                                <w:szCs w:val="20"/>
                              </w:rPr>
                              <w:t xml:space="preserve"> to motivate focused actions that effect large quantities of recharge and produce regional benefits. The Recharge Roundtable participants and organizers produced a call to action, organized around </w:t>
                            </w:r>
                            <w:r>
                              <w:rPr>
                                <w:rFonts w:asciiTheme="majorHAnsi" w:eastAsia="Times New Roman" w:hAnsiTheme="majorHAnsi" w:cstheme="majorHAnsi"/>
                                <w:color w:val="333333"/>
                                <w:sz w:val="20"/>
                                <w:szCs w:val="20"/>
                              </w:rPr>
                              <w:t>several</w:t>
                            </w:r>
                            <w:r w:rsidRPr="0039593D">
                              <w:rPr>
                                <w:rFonts w:asciiTheme="majorHAnsi" w:eastAsia="Times New Roman" w:hAnsiTheme="majorHAnsi" w:cstheme="majorHAnsi"/>
                                <w:color w:val="333333"/>
                                <w:sz w:val="20"/>
                                <w:szCs w:val="20"/>
                              </w:rPr>
                              <w:t xml:space="preserve"> key questions and related action steps</w:t>
                            </w:r>
                            <w:r>
                              <w:rPr>
                                <w:rFonts w:asciiTheme="majorHAnsi" w:eastAsia="Times New Roman" w:hAnsiTheme="majorHAnsi" w:cstheme="majorHAnsi"/>
                                <w:color w:val="333333"/>
                                <w:sz w:val="20"/>
                                <w:szCs w:val="20"/>
                              </w:rPr>
                              <w:t>, including how much water is hydrologically available and how can hundreds to thousands of recharge projects be incentivized.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CC36D" id="Text Box 10" o:spid="_x0000_s1038" type="#_x0000_t202" style="position:absolute;margin-left:0;margin-top:4.45pt;width:439.5pt;height:10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dXgIAANUEAAAOAAAAZHJzL2Uyb0RvYy54bWysVF1v2zAMfB+w/yDofbWTxf0I6hRZiw4D&#10;urZAO/RZkeXEgCxqkhK7+/U7yXGbdQMGDHtRKPJ8FI9kzi/6VrOdcr4hU/LJUc6ZMpKqxqxL/u3x&#10;+sMpZz4IUwlNRpX8WXl+sXj/7ryzczWlDelKOQYS4+edLfkmBDvPMi83qhX+iKwyCNbkWhFwdeus&#10;cqIDe6uzaZ4fZx25yjqSynt4r4YgXyT+ulYy3NW1V4HpkuNtIZ0unat4ZotzMV87YTeN3D9D/MMr&#10;WtEYJH2huhJBsK1rfqNqG+nIUx2OJLUZ1XUjVaoB1UzyN9U8bIRVqRaI4+2LTP7/0crb3b1jTYXe&#10;QR4jWvToUfWBfaKewQV9OuvngD1YAEMPP7Cj38MZy+5r18ZfFMQQB9Xzi7qRTcJZFKeT4wIhidjk&#10;4/E0PykiT/b6uXU+fFbUsmiU3KF9SVWxu/FhgI6QmM2TbqrrRut0iSOjLrVjO4Fm65AeCfJfUNqw&#10;ruTT0wK5/0YhpFQmDDi9bb9SNVCfFHmelInkY9ZUx0EqxLSBM6o3qBSt0K/6Qe3pKOGKqmco62iY&#10;TW/ldYPqb4QP98JhGKEYFizc4ag14fW0tzjbkPvxJ3/EY0YQ5azDcJfcf98KpzjTXwym52wym4E2&#10;pMusOJni4g4jq8OI2baXBEknWGUrkxnxQY9m7ah9wh4uY1aEhJHIXfIwmpdhWDnssVTLZQJh/q0I&#10;N+bBykgdmxF7+9g/CWf3AxAwO7c0roGYv5mDARu/NLTcBqqbNCRR6EHVvf7YndSe/Z7H5Ty8J9Tr&#10;v9HiJwAAAP//AwBQSwMEFAAGAAgAAAAhAMilgX7dAAAABgEAAA8AAABkcnMvZG93bnJldi54bWxM&#10;j81OwzAQhO9IvIO1SNyoQ1pBErKpCgKBeuCn5QHcZEmixOsodtvQp2c5wXE0o5lv8uVke3Wg0beO&#10;Ea5nESji0lUt1wif26erBJQPhivTOyaEb/KwLM7PcpNV7sgfdNiEWkkJ+8wgNCEMmda+bMgaP3MD&#10;sXhfbrQmiBxrXY3mKOW213EU3WhrWpaFxgz00FDZbfYWQXflPLy+r07d+uXtOXWPp3tabBEvL6bV&#10;HahAU/gLwy++oEMhTDu358qrHkGOBIQkBSVmcpuK3iHE8XwBusj1f/ziBwAA//8DAFBLAQItABQA&#10;BgAIAAAAIQC2gziS/gAAAOEBAAATAAAAAAAAAAAAAAAAAAAAAABbQ29udGVudF9UeXBlc10ueG1s&#10;UEsBAi0AFAAGAAgAAAAhADj9If/WAAAAlAEAAAsAAAAAAAAAAAAAAAAALwEAAF9yZWxzLy5yZWxz&#10;UEsBAi0AFAAGAAgAAAAhAKgT411eAgAA1QQAAA4AAAAAAAAAAAAAAAAALgIAAGRycy9lMm9Eb2Mu&#10;eG1sUEsBAi0AFAAGAAgAAAAhAMilgX7dAAAABgEAAA8AAAAAAAAAAAAAAAAAuAQAAGRycy9kb3du&#10;cmV2LnhtbFBLBQYAAAAABAAEAPMAAADCBQAAAAA=&#10;" fillcolor="white [3201]" strokecolor="#31849b [2408]" strokeweight="2.25pt">
                <v:textbox>
                  <w:txbxContent>
                    <w:p w:rsidR="00430B8E" w:rsidRPr="0039593D" w:rsidRDefault="00430B8E" w:rsidP="0039593D">
                      <w:pPr>
                        <w:pBdr>
                          <w:top w:val="nil"/>
                          <w:left w:val="nil"/>
                          <w:bottom w:val="nil"/>
                          <w:right w:val="nil"/>
                          <w:between w:val="nil"/>
                        </w:pBdr>
                        <w:spacing w:after="120" w:line="240" w:lineRule="auto"/>
                        <w:rPr>
                          <w:b/>
                          <w:color w:val="31849B" w:themeColor="accent5" w:themeShade="BF"/>
                          <w:sz w:val="32"/>
                        </w:rPr>
                      </w:pPr>
                      <w:r>
                        <w:rPr>
                          <w:b/>
                          <w:color w:val="31849B" w:themeColor="accent5" w:themeShade="BF"/>
                          <w:sz w:val="32"/>
                        </w:rPr>
                        <w:t>“</w:t>
                      </w:r>
                      <w:r w:rsidRPr="0039593D">
                        <w:rPr>
                          <w:b/>
                          <w:color w:val="31849B" w:themeColor="accent5" w:themeShade="BF"/>
                          <w:sz w:val="32"/>
                        </w:rPr>
                        <w:t>Recharge Roundtable Call to Action</w:t>
                      </w:r>
                      <w:r>
                        <w:rPr>
                          <w:b/>
                          <w:color w:val="31849B" w:themeColor="accent5" w:themeShade="BF"/>
                          <w:sz w:val="32"/>
                        </w:rPr>
                        <w:t>” Report</w:t>
                      </w:r>
                      <w:r w:rsidRPr="0039593D">
                        <w:rPr>
                          <w:b/>
                          <w:color w:val="31849B" w:themeColor="accent5" w:themeShade="BF"/>
                          <w:sz w:val="32"/>
                        </w:rPr>
                        <w:t xml:space="preserve"> </w:t>
                      </w:r>
                    </w:p>
                    <w:p w:rsidR="00430B8E" w:rsidRPr="00413F84" w:rsidRDefault="00430B8E" w:rsidP="00463E18">
                      <w:pPr>
                        <w:shd w:val="clear" w:color="auto" w:fill="FFFFFF"/>
                        <w:spacing w:after="0" w:line="240" w:lineRule="auto"/>
                        <w:rPr>
                          <w:rFonts w:asciiTheme="majorHAnsi" w:eastAsia="Times New Roman" w:hAnsiTheme="majorHAnsi" w:cstheme="majorHAnsi"/>
                          <w:color w:val="333333"/>
                          <w:sz w:val="20"/>
                          <w:szCs w:val="20"/>
                        </w:rPr>
                      </w:pPr>
                      <w:r w:rsidRPr="0039593D">
                        <w:rPr>
                          <w:rFonts w:asciiTheme="majorHAnsi" w:eastAsia="Times New Roman" w:hAnsiTheme="majorHAnsi" w:cstheme="majorHAnsi"/>
                          <w:color w:val="333333"/>
                          <w:sz w:val="20"/>
                          <w:szCs w:val="20"/>
                        </w:rPr>
                        <w:t>As a collaboration between the </w:t>
                      </w:r>
                      <w:hyperlink r:id="rId70" w:history="1">
                        <w:r w:rsidRPr="0039593D">
                          <w:rPr>
                            <w:rStyle w:val="Hyperlink"/>
                            <w:rFonts w:asciiTheme="majorHAnsi" w:eastAsia="Times New Roman" w:hAnsiTheme="majorHAnsi" w:cstheme="majorHAnsi"/>
                            <w:sz w:val="20"/>
                            <w:szCs w:val="20"/>
                          </w:rPr>
                          <w:t>Groundwater Resources Association of California</w:t>
                        </w:r>
                      </w:hyperlink>
                      <w:r w:rsidRPr="0039593D">
                        <w:rPr>
                          <w:rFonts w:asciiTheme="majorHAnsi" w:eastAsia="Times New Roman" w:hAnsiTheme="majorHAnsi" w:cstheme="majorHAnsi"/>
                          <w:color w:val="333333"/>
                          <w:sz w:val="20"/>
                          <w:szCs w:val="20"/>
                        </w:rPr>
                        <w:t> and the </w:t>
                      </w:r>
                      <w:hyperlink r:id="rId71" w:history="1">
                        <w:r w:rsidRPr="0039593D">
                          <w:rPr>
                            <w:rStyle w:val="Hyperlink"/>
                            <w:rFonts w:asciiTheme="majorHAnsi" w:eastAsia="Times New Roman" w:hAnsiTheme="majorHAnsi" w:cstheme="majorHAnsi"/>
                            <w:sz w:val="20"/>
                            <w:szCs w:val="20"/>
                          </w:rPr>
                          <w:t>University of California Water Security and Sustainability Research Initiative</w:t>
                        </w:r>
                      </w:hyperlink>
                      <w:r w:rsidRPr="0039593D">
                        <w:rPr>
                          <w:rFonts w:asciiTheme="majorHAnsi" w:eastAsia="Times New Roman" w:hAnsiTheme="majorHAnsi" w:cstheme="majorHAnsi"/>
                          <w:color w:val="333333"/>
                          <w:sz w:val="20"/>
                          <w:szCs w:val="20"/>
                        </w:rPr>
                        <w:t xml:space="preserve">, </w:t>
                      </w:r>
                      <w:r>
                        <w:rPr>
                          <w:rFonts w:asciiTheme="majorHAnsi" w:eastAsia="Times New Roman" w:hAnsiTheme="majorHAnsi" w:cstheme="majorHAnsi"/>
                          <w:color w:val="333333"/>
                          <w:sz w:val="20"/>
                          <w:szCs w:val="20"/>
                        </w:rPr>
                        <w:t>the “</w:t>
                      </w:r>
                      <w:hyperlink r:id="rId72" w:history="1">
                        <w:r w:rsidRPr="0039593D">
                          <w:rPr>
                            <w:rStyle w:val="Hyperlink"/>
                            <w:rFonts w:asciiTheme="majorHAnsi" w:eastAsia="Times New Roman" w:hAnsiTheme="majorHAnsi" w:cstheme="majorHAnsi"/>
                            <w:sz w:val="20"/>
                            <w:szCs w:val="20"/>
                          </w:rPr>
                          <w:t>Recharge Roundtable Call to Action” Report</w:t>
                        </w:r>
                      </w:hyperlink>
                      <w:r>
                        <w:rPr>
                          <w:rFonts w:asciiTheme="majorHAnsi" w:eastAsia="Times New Roman" w:hAnsiTheme="majorHAnsi" w:cstheme="majorHAnsi"/>
                          <w:color w:val="333333"/>
                          <w:sz w:val="20"/>
                          <w:szCs w:val="20"/>
                        </w:rPr>
                        <w:t xml:space="preserve"> aims</w:t>
                      </w:r>
                      <w:r w:rsidRPr="0039593D">
                        <w:rPr>
                          <w:rFonts w:asciiTheme="majorHAnsi" w:eastAsia="Times New Roman" w:hAnsiTheme="majorHAnsi" w:cstheme="majorHAnsi"/>
                          <w:color w:val="333333"/>
                          <w:sz w:val="20"/>
                          <w:szCs w:val="20"/>
                        </w:rPr>
                        <w:t xml:space="preserve"> to motivate focused actions that effect large quantities of recharge and produce regional benefits. The Recharge Roundtable participants and organizers produced a call to action, organized around </w:t>
                      </w:r>
                      <w:r>
                        <w:rPr>
                          <w:rFonts w:asciiTheme="majorHAnsi" w:eastAsia="Times New Roman" w:hAnsiTheme="majorHAnsi" w:cstheme="majorHAnsi"/>
                          <w:color w:val="333333"/>
                          <w:sz w:val="20"/>
                          <w:szCs w:val="20"/>
                        </w:rPr>
                        <w:t>several</w:t>
                      </w:r>
                      <w:r w:rsidRPr="0039593D">
                        <w:rPr>
                          <w:rFonts w:asciiTheme="majorHAnsi" w:eastAsia="Times New Roman" w:hAnsiTheme="majorHAnsi" w:cstheme="majorHAnsi"/>
                          <w:color w:val="333333"/>
                          <w:sz w:val="20"/>
                          <w:szCs w:val="20"/>
                        </w:rPr>
                        <w:t xml:space="preserve"> key questions and related action steps</w:t>
                      </w:r>
                      <w:r>
                        <w:rPr>
                          <w:rFonts w:asciiTheme="majorHAnsi" w:eastAsia="Times New Roman" w:hAnsiTheme="majorHAnsi" w:cstheme="majorHAnsi"/>
                          <w:color w:val="333333"/>
                          <w:sz w:val="20"/>
                          <w:szCs w:val="20"/>
                        </w:rPr>
                        <w:t>, including how much water is hydrologically available and how can hundreds to thousands of recharge projects be incentivized.</w:t>
                      </w:r>
                    </w:p>
                  </w:txbxContent>
                </v:textbox>
                <w10:wrap type="square"/>
              </v:shape>
            </w:pict>
          </mc:Fallback>
        </mc:AlternateContent>
      </w:r>
      <w:r w:rsidR="00103245">
        <w:br w:type="page"/>
      </w:r>
    </w:p>
    <w:p w:rsidR="007D7BFA" w:rsidRDefault="007D7BFA">
      <w:pPr>
        <w:pStyle w:val="Heading1"/>
        <w:spacing w:before="0" w:after="0"/>
      </w:pPr>
      <w:r>
        <w:lastRenderedPageBreak/>
        <w:t>Case Studies</w:t>
      </w:r>
    </w:p>
    <w:p w:rsidR="000E096B" w:rsidRDefault="000E096B" w:rsidP="000E096B">
      <w:pPr>
        <w:pBdr>
          <w:top w:val="nil"/>
          <w:left w:val="nil"/>
          <w:bottom w:val="nil"/>
          <w:right w:val="nil"/>
          <w:between w:val="nil"/>
        </w:pBdr>
        <w:spacing w:before="120" w:after="0" w:line="240" w:lineRule="auto"/>
        <w:rPr>
          <w:b/>
          <w:color w:val="31849B" w:themeColor="accent5" w:themeShade="BF"/>
          <w:sz w:val="32"/>
        </w:rPr>
      </w:pPr>
      <w:r>
        <w:rPr>
          <w:sz w:val="22"/>
          <w:szCs w:val="22"/>
        </w:rPr>
        <w:t xml:space="preserve">The following case studies show examples of how GSAs are developing multi-benefit ground water replenishment projects throughout California. </w:t>
      </w:r>
    </w:p>
    <w:p w:rsidR="00186FF9" w:rsidRPr="000E096B" w:rsidRDefault="0039593D" w:rsidP="000E096B">
      <w:pPr>
        <w:pBdr>
          <w:top w:val="nil"/>
          <w:left w:val="nil"/>
          <w:bottom w:val="nil"/>
          <w:right w:val="nil"/>
          <w:between w:val="nil"/>
        </w:pBdr>
        <w:spacing w:before="120" w:after="0" w:line="240" w:lineRule="auto"/>
        <w:rPr>
          <w:b/>
          <w:color w:val="31849B" w:themeColor="accent5" w:themeShade="BF"/>
          <w:sz w:val="32"/>
        </w:rPr>
      </w:pPr>
      <w:r>
        <w:rPr>
          <w:b/>
          <w:noProof/>
          <w:color w:val="31849B" w:themeColor="accent5" w:themeShade="BF"/>
          <w:sz w:val="32"/>
        </w:rPr>
        <mc:AlternateContent>
          <mc:Choice Requires="wps">
            <w:drawing>
              <wp:anchor distT="0" distB="0" distL="114300" distR="114300" simplePos="0" relativeHeight="251694080" behindDoc="0" locked="0" layoutInCell="1" allowOverlap="1">
                <wp:simplePos x="0" y="0"/>
                <wp:positionH relativeFrom="column">
                  <wp:posOffset>2552700</wp:posOffset>
                </wp:positionH>
                <wp:positionV relativeFrom="paragraph">
                  <wp:posOffset>377825</wp:posOffset>
                </wp:positionV>
                <wp:extent cx="3305175" cy="2952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3305175" cy="295275"/>
                        </a:xfrm>
                        <a:prstGeom prst="rect">
                          <a:avLst/>
                        </a:prstGeom>
                        <a:solidFill>
                          <a:schemeClr val="lt1"/>
                        </a:solidFill>
                        <a:ln w="6350">
                          <a:noFill/>
                        </a:ln>
                      </wps:spPr>
                      <wps:txbx>
                        <w:txbxContent>
                          <w:p w:rsidR="00430B8E" w:rsidRPr="0039593D" w:rsidRDefault="00430B8E">
                            <w:pPr>
                              <w:rPr>
                                <w:sz w:val="20"/>
                                <w:szCs w:val="20"/>
                              </w:rPr>
                            </w:pPr>
                            <w:r w:rsidRPr="0039593D">
                              <w:rPr>
                                <w:sz w:val="20"/>
                                <w:szCs w:val="20"/>
                              </w:rPr>
                              <w:t xml:space="preserve">Case study and image provided by The Nature Conservancy.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9" type="#_x0000_t202" style="position:absolute;margin-left:201pt;margin-top:29.75pt;width:260.25pt;height:23.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PnRQIAAIMEAAAOAAAAZHJzL2Uyb0RvYy54bWysVE1vGjEQvVfqf7B8L8tn0iCWiBJRVYqS&#10;SKTK2Xi9YSWvx7UNu/TX99kLhKY9Vb2Y8czb55k3M8xu21qzvXK+IpPzQa/PmTKSisq85vz78+rT&#10;Z858EKYQmozK+UF5fjv/+GHW2Kka0pZ0oRwDifHTxuZ8G4KdZpmXW1UL3yOrDIIluVoEXN1rVjjR&#10;gL3W2bDfv8oacoV1JJX38N51QT5P/GWpZHgsS68C0zlHbiGdLp2beGbzmZi+OmG3lTymIf4hi1pU&#10;Bo+eqe5EEGznqj+o6ko68lSGnqQ6o7KspEo1oJpB/101662wKtUCcbw9y+T/H6182D85VhXo3TVn&#10;RtTo0bNqA/tCLYML+jTWTwFbWwBDCz+wJ7+HM5bdlq6OvyiIIQ6lD2d1I5uEczTqTwbXE84kYsOb&#10;yRA26LO3r63z4auimkUj5w7dS6KK/b0PHfQEiY950lWxqrROlzgxaqkd2wv0WoeUI8h/Q2nDmpxf&#10;jSb9RGwoft4xa4NcYq1dTdEK7abttBmdCt5QcYAOjrpJ8lauKiR7L3x4Eg6jg9KxDuERR6kJj9HR&#10;4mxL7uff/BGPjiLKWYNRzLn/sRNOcaa/GfT6ZjAex9lNl/HkeoiLu4xsLiNmVy8JCgyweFYmM+KD&#10;Ppmlo/oFW7OIryIkjMTbOQ8ncxm6BcHWSbVYJBCm1Ypwb9ZWRuqoeGzFc/sinD32K6DTD3QaWjF9&#10;17YOG780tNgFKqvU0yh0p+pRf0x6morjVsZVurwn1Nt/x/wXAAAA//8DAFBLAwQUAAYACAAAACEA&#10;qT6ehOEAAAAKAQAADwAAAGRycy9kb3ducmV2LnhtbEyPTU/DMAyG70j8h8hIXBBL6OhgpemEEDCJ&#10;Gysf4pY1pq1onKrJ2vLvMSe42fKj18+bb2bXiRGH0HrScLFQIJAqb1uqNbyUD+fXIEI0ZE3nCTV8&#10;Y4BNcXyUm8z6iZ5x3MVacAiFzGhoYuwzKUPVoDNh4Xskvn36wZnI61BLO5iJw10nE6VW0pmW+ENj&#10;erxrsPraHZyGj7P6/SnMj6/TMl3299uxvHqzpdanJ/PtDYiIc/yD4Vef1aFgp70/kA2i03CpEu4S&#10;NaTrFAQD6yThYc+kWimQRS7/Vyh+AAAA//8DAFBLAQItABQABgAIAAAAIQC2gziS/gAAAOEBAAAT&#10;AAAAAAAAAAAAAAAAAAAAAABbQ29udGVudF9UeXBlc10ueG1sUEsBAi0AFAAGAAgAAAAhADj9If/W&#10;AAAAlAEAAAsAAAAAAAAAAAAAAAAALwEAAF9yZWxzLy5yZWxzUEsBAi0AFAAGAAgAAAAhALHPg+dF&#10;AgAAgwQAAA4AAAAAAAAAAAAAAAAALgIAAGRycy9lMm9Eb2MueG1sUEsBAi0AFAAGAAgAAAAhAKk+&#10;noThAAAACgEAAA8AAAAAAAAAAAAAAAAAnwQAAGRycy9kb3ducmV2LnhtbFBLBQYAAAAABAAEAPMA&#10;AACtBQAAAAA=&#10;" fillcolor="white [3201]" stroked="f" strokeweight=".5pt">
                <v:textbox>
                  <w:txbxContent>
                    <w:p w:rsidR="00430B8E" w:rsidRPr="0039593D" w:rsidRDefault="00430B8E">
                      <w:pPr>
                        <w:rPr>
                          <w:sz w:val="20"/>
                          <w:szCs w:val="20"/>
                        </w:rPr>
                      </w:pPr>
                      <w:r w:rsidRPr="0039593D">
                        <w:rPr>
                          <w:sz w:val="20"/>
                          <w:szCs w:val="20"/>
                        </w:rPr>
                        <w:t xml:space="preserve">Case study and image provided by The Nature Conservancy. </w:t>
                      </w:r>
                    </w:p>
                  </w:txbxContent>
                </v:textbox>
              </v:shape>
            </w:pict>
          </mc:Fallback>
        </mc:AlternateContent>
      </w:r>
      <w:r w:rsidR="007A11A1" w:rsidRPr="000E096B">
        <w:rPr>
          <w:b/>
          <w:color w:val="31849B" w:themeColor="accent5" w:themeShade="BF"/>
          <w:sz w:val="32"/>
        </w:rPr>
        <w:t>Colusa County, Managed Aquifer Recharge: Benefitting Aquifers, Farmers and Migratory Birds</w:t>
      </w:r>
    </w:p>
    <w:p w:rsidR="00186FF9" w:rsidRDefault="000E096B" w:rsidP="000E096B">
      <w:pPr>
        <w:spacing w:after="0" w:line="276" w:lineRule="auto"/>
        <w:rPr>
          <w:noProof/>
        </w:rPr>
      </w:pPr>
      <w:r>
        <w:rPr>
          <w:noProof/>
        </w:rPr>
        <w:drawing>
          <wp:anchor distT="0" distB="0" distL="114300" distR="114300" simplePos="0" relativeHeight="251688960" behindDoc="0" locked="0" layoutInCell="1" allowOverlap="1">
            <wp:simplePos x="0" y="0"/>
            <wp:positionH relativeFrom="column">
              <wp:posOffset>2552700</wp:posOffset>
            </wp:positionH>
            <wp:positionV relativeFrom="paragraph">
              <wp:posOffset>95250</wp:posOffset>
            </wp:positionV>
            <wp:extent cx="3305175" cy="198120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305175" cy="1981200"/>
                    </a:xfrm>
                    <a:prstGeom prst="rect">
                      <a:avLst/>
                    </a:prstGeom>
                  </pic:spPr>
                </pic:pic>
              </a:graphicData>
            </a:graphic>
            <wp14:sizeRelH relativeFrom="page">
              <wp14:pctWidth>0</wp14:pctWidth>
            </wp14:sizeRelH>
            <wp14:sizeRelV relativeFrom="page">
              <wp14:pctHeight>0</wp14:pctHeight>
            </wp14:sizeRelV>
          </wp:anchor>
        </w:drawing>
      </w:r>
      <w:r w:rsidRPr="000E096B">
        <w:rPr>
          <w:sz w:val="22"/>
          <w:szCs w:val="22"/>
        </w:rPr>
        <w:t>In partnership with growers and the Colusa Groundwater Authority (CGA), The Nature Conservancy (TNC) is implementing a pilot multiple-benefit managed aquifer recharge program on farmland in California’s Central Valley, Colusa County. This program will benefit local groundwater users by replenishing critical domestic and agricultural groundwater supplies in a Severely Disadvantaged Community (SDAC). Participating farmers will benefit economically through incentive payments, and migratory shorebirds will benefit through the creation of critical winter habitat on farms through our specific field and water depth specifications.</w:t>
      </w:r>
      <w:r w:rsidRPr="000E096B">
        <w:rPr>
          <w:noProof/>
        </w:rPr>
        <w:t xml:space="preserve"> </w:t>
      </w:r>
    </w:p>
    <w:p w:rsidR="003861B7" w:rsidRDefault="003861B7" w:rsidP="006D632C">
      <w:pPr>
        <w:spacing w:before="240" w:after="0"/>
        <w:rPr>
          <w:b/>
          <w:color w:val="31849B" w:themeColor="accent5" w:themeShade="BF"/>
          <w:sz w:val="32"/>
        </w:rPr>
      </w:pPr>
      <w:r>
        <w:rPr>
          <w:b/>
          <w:color w:val="31849B" w:themeColor="accent5" w:themeShade="BF"/>
          <w:sz w:val="32"/>
        </w:rPr>
        <w:t xml:space="preserve">Modesto Irrigation District: Groundwater Replenishment </w:t>
      </w:r>
      <w:r w:rsidR="006D632C">
        <w:rPr>
          <w:b/>
          <w:color w:val="31849B" w:themeColor="accent5" w:themeShade="BF"/>
          <w:sz w:val="32"/>
        </w:rPr>
        <w:t>Plan</w:t>
      </w:r>
    </w:p>
    <w:p w:rsidR="003861B7" w:rsidRPr="003861B7" w:rsidRDefault="003861B7" w:rsidP="006D632C">
      <w:pPr>
        <w:rPr>
          <w:sz w:val="22"/>
          <w:szCs w:val="22"/>
        </w:rPr>
      </w:pPr>
      <w:r>
        <w:rPr>
          <w:rFonts w:eastAsia="Times New Roman"/>
          <w:noProof/>
        </w:rPr>
        <w:drawing>
          <wp:anchor distT="0" distB="0" distL="114300" distR="114300" simplePos="0" relativeHeight="251700224" behindDoc="0" locked="0" layoutInCell="1" allowOverlap="1">
            <wp:simplePos x="0" y="0"/>
            <wp:positionH relativeFrom="column">
              <wp:posOffset>2789555</wp:posOffset>
            </wp:positionH>
            <wp:positionV relativeFrom="paragraph">
              <wp:posOffset>92075</wp:posOffset>
            </wp:positionV>
            <wp:extent cx="3125470" cy="2343150"/>
            <wp:effectExtent l="0" t="0" r="0" b="0"/>
            <wp:wrapSquare wrapText="bothSides"/>
            <wp:docPr id="29" name="Picture 29" descr="cid:89999A75C3DB734BA542C9C61AADAEA6@mid.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999A75C3DB734BA542C9C61AADAEA6@mid.local" descr="cid:89999A75C3DB734BA542C9C61AADAEA6@mid.local"/>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312547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The Modesto Irrigation District Board of</w:t>
      </w:r>
      <w:r w:rsidR="006D632C">
        <w:rPr>
          <w:sz w:val="22"/>
          <w:szCs w:val="22"/>
        </w:rPr>
        <w:t xml:space="preserve"> Director’s finalized their 2019</w:t>
      </w:r>
      <w:r>
        <w:rPr>
          <w:sz w:val="22"/>
          <w:szCs w:val="22"/>
        </w:rPr>
        <w:t xml:space="preserve"> Groundwater Replenishment </w:t>
      </w:r>
      <w:r w:rsidR="006D632C">
        <w:rPr>
          <w:sz w:val="22"/>
          <w:szCs w:val="22"/>
        </w:rPr>
        <w:t>Plan</w:t>
      </w:r>
      <w:r>
        <w:rPr>
          <w:sz w:val="22"/>
          <w:szCs w:val="22"/>
        </w:rPr>
        <w:t xml:space="preserve"> – a voluntary </w:t>
      </w:r>
      <w:r w:rsidR="006D632C">
        <w:rPr>
          <w:sz w:val="22"/>
          <w:szCs w:val="22"/>
        </w:rPr>
        <w:t>plan</w:t>
      </w:r>
      <w:r w:rsidRPr="003861B7">
        <w:rPr>
          <w:sz w:val="22"/>
          <w:szCs w:val="22"/>
        </w:rPr>
        <w:t xml:space="preserve"> that allows MID to deliver surplus surface water to any farmer with already developed agricultural land who is solely reliant upon groundwater within the Modesto Sub-basin and within MID’s existing sphere of influence. This surface water is for agricultural use only and the participants must demonstrate that the</w:t>
      </w:r>
      <w:r w:rsidR="006D632C">
        <w:rPr>
          <w:sz w:val="22"/>
          <w:szCs w:val="22"/>
        </w:rPr>
        <w:t xml:space="preserve"> surface</w:t>
      </w:r>
      <w:r w:rsidRPr="003861B7">
        <w:rPr>
          <w:sz w:val="22"/>
          <w:szCs w:val="22"/>
        </w:rPr>
        <w:t xml:space="preserve"> water received is put to beneficial uses at all times.</w:t>
      </w:r>
      <w:r>
        <w:rPr>
          <w:sz w:val="22"/>
          <w:szCs w:val="22"/>
        </w:rPr>
        <w:t xml:space="preserve"> </w:t>
      </w:r>
      <w:r w:rsidRPr="003861B7">
        <w:rPr>
          <w:sz w:val="22"/>
          <w:szCs w:val="22"/>
        </w:rPr>
        <w:t xml:space="preserve">The GRP was constructed following an abundance of precipitation </w:t>
      </w:r>
      <w:r w:rsidR="0012614C">
        <w:rPr>
          <w:sz w:val="22"/>
          <w:szCs w:val="22"/>
        </w:rPr>
        <w:t>in 201</w:t>
      </w:r>
      <w:r w:rsidR="006D632C">
        <w:rPr>
          <w:sz w:val="22"/>
          <w:szCs w:val="22"/>
        </w:rPr>
        <w:t>9.</w:t>
      </w:r>
      <w:bookmarkStart w:id="0" w:name="_GoBack"/>
      <w:bookmarkEnd w:id="0"/>
    </w:p>
    <w:p w:rsidR="007A3F49" w:rsidRDefault="007A3F49">
      <w:pPr>
        <w:rPr>
          <w:b/>
          <w:color w:val="31849B" w:themeColor="accent5" w:themeShade="BF"/>
          <w:sz w:val="32"/>
        </w:rPr>
      </w:pPr>
      <w:r>
        <w:rPr>
          <w:b/>
          <w:color w:val="31849B" w:themeColor="accent5" w:themeShade="BF"/>
          <w:sz w:val="32"/>
        </w:rPr>
        <w:br w:type="page"/>
      </w:r>
    </w:p>
    <w:p w:rsidR="000E096B" w:rsidRPr="000E096B" w:rsidRDefault="000E096B" w:rsidP="000E096B">
      <w:pPr>
        <w:spacing w:before="120" w:after="0" w:line="276" w:lineRule="auto"/>
        <w:rPr>
          <w:b/>
          <w:color w:val="31849B" w:themeColor="accent5" w:themeShade="BF"/>
          <w:sz w:val="32"/>
        </w:rPr>
      </w:pPr>
      <w:r w:rsidRPr="000E096B">
        <w:rPr>
          <w:b/>
          <w:color w:val="31849B" w:themeColor="accent5" w:themeShade="BF"/>
          <w:sz w:val="32"/>
        </w:rPr>
        <w:lastRenderedPageBreak/>
        <w:t xml:space="preserve">Sacramento County, Making Room for Recharge: </w:t>
      </w:r>
      <w:proofErr w:type="spellStart"/>
      <w:r w:rsidRPr="000E096B">
        <w:rPr>
          <w:b/>
          <w:color w:val="31849B" w:themeColor="accent5" w:themeShade="BF"/>
          <w:sz w:val="32"/>
        </w:rPr>
        <w:t>Consumnes</w:t>
      </w:r>
      <w:proofErr w:type="spellEnd"/>
      <w:r w:rsidRPr="000E096B">
        <w:rPr>
          <w:b/>
          <w:color w:val="31849B" w:themeColor="accent5" w:themeShade="BF"/>
          <w:sz w:val="32"/>
        </w:rPr>
        <w:t xml:space="preserve"> River Levee Removal and Floodplain Restoration</w:t>
      </w:r>
    </w:p>
    <w:p w:rsidR="000E096B" w:rsidRDefault="00430B8E" w:rsidP="000E096B">
      <w:pPr>
        <w:spacing w:after="0" w:line="276" w:lineRule="auto"/>
        <w:rPr>
          <w:noProof/>
        </w:rPr>
      </w:pPr>
      <w:r>
        <w:rPr>
          <w:b/>
          <w:noProof/>
          <w:color w:val="31849B" w:themeColor="accent5" w:themeShade="BF"/>
          <w:sz w:val="32"/>
        </w:rPr>
        <mc:AlternateContent>
          <mc:Choice Requires="wps">
            <w:drawing>
              <wp:anchor distT="0" distB="0" distL="114300" distR="114300" simplePos="0" relativeHeight="251696128" behindDoc="0" locked="0" layoutInCell="1" allowOverlap="1" wp14:anchorId="772FE35D" wp14:editId="0332608C">
                <wp:simplePos x="0" y="0"/>
                <wp:positionH relativeFrom="column">
                  <wp:posOffset>-95250</wp:posOffset>
                </wp:positionH>
                <wp:positionV relativeFrom="paragraph">
                  <wp:posOffset>2220595</wp:posOffset>
                </wp:positionV>
                <wp:extent cx="3352800" cy="36195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352800" cy="361950"/>
                        </a:xfrm>
                        <a:prstGeom prst="rect">
                          <a:avLst/>
                        </a:prstGeom>
                        <a:solidFill>
                          <a:schemeClr val="lt1"/>
                        </a:solidFill>
                        <a:ln w="6350">
                          <a:noFill/>
                        </a:ln>
                      </wps:spPr>
                      <wps:txbx>
                        <w:txbxContent>
                          <w:p w:rsidR="00430B8E" w:rsidRPr="0039593D" w:rsidRDefault="00430B8E" w:rsidP="0039593D">
                            <w:pPr>
                              <w:rPr>
                                <w:sz w:val="20"/>
                                <w:szCs w:val="20"/>
                              </w:rPr>
                            </w:pPr>
                            <w:r w:rsidRPr="0039593D">
                              <w:rPr>
                                <w:sz w:val="20"/>
                                <w:szCs w:val="20"/>
                              </w:rPr>
                              <w:t xml:space="preserve">Case study and image provided by The Nature Conservancy.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E35D" id="Text Box 27" o:spid="_x0000_s1040" type="#_x0000_t202" style="position:absolute;margin-left:-7.5pt;margin-top:174.85pt;width:264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R6RQIAAIMEAAAOAAAAZHJzL2Uyb0RvYy54bWysVE1v2zAMvQ/YfxB0X5zvtkGdImuRYUDQ&#10;FkiHnhVZbgzIoiYpsbNfvyc5adNup2EXmSIpfrxH+vqmrTXbK+crMjkf9PqcKSOpqMxLzn88Lb9c&#10;cuaDMIXQZFTOD8rzm/nnT9eNnakhbUkXyjEEMX7W2JxvQ7CzLPNyq2rhe2SVgbEkV4uAq3vJCica&#10;RK91Nuz3p1lDrrCOpPIe2rvOyOcpflkqGR7K0qvAdM5RW0inS+cmntn8WsxenLDbSh7LEP9QRS0q&#10;g6Svoe5EEGznqj9C1ZV05KkMPUl1RmVZSZV6QDeD/odu1lthVeoF4Hj7CpP/f2Hl/f7RsarI+fCC&#10;MyNqcPSk2sC+UsugAj6N9TO4rS0cQws9eD7pPZSx7bZ0dfyiIQY7kD68ohujSShHo8nwsg+ThG00&#10;HVxNEvzZ22vrfPimqGZRyLkDewlUsV/5gErgenKJyTzpqlhWWqdLnBh1qx3bC3CtQ6oRL955acOa&#10;nE9HSB0fGYrPu8jaIEHstespSqHdtAmbwfjU8IaKA3Bw1E2St3JZodiV8OFROIwO+sM6hAccpSYk&#10;o6PE2Zbcr7/poz8YhZWzBqOYc/9zJ5ziTH834PpqMB7H2U2X8eRiiIs7t2zOLWZX3xIQGGDxrExi&#10;9A/6JJaO6mdszSJmhUkYidw5DyfxNnQLgq2TarFITphWK8LKrK2MoSN4kYqn9lk4e+QrgOl7Og2t&#10;mH2grfPtYF/sApVV4jQC3aF6xB+Tnqg+bmVcpfN78nr7d8x/AwAA//8DAFBLAwQUAAYACAAAACEA&#10;JVOml+MAAAALAQAADwAAAGRycy9kb3ducmV2LnhtbEyPzU7DMBCE70i8g7VIXFDrhLQNhDgVQkAl&#10;bjT8iJsbL0lEvI5iNwlvz3KC4+yMZr/Jt7PtxIiDbx0piJcRCKTKmZZqBS/lw+IKhA+ajO4coYJv&#10;9LAtTk9ynRk30TOO+1ALLiGfaQVNCH0mpa8atNovXY/E3qcbrA4sh1qaQU9cbjt5GUUbaXVL/KHR&#10;Pd41WH3tj1bBx0X9/uTnx9cpWSf9/W4s0zdTKnV+Nt/egAg4h78w/OIzOhTMdHBHMl50ChbxmrcE&#10;BcnqOgXBiXWc8OWgYBVtUpBFLv9vKH4AAAD//wMAUEsBAi0AFAAGAAgAAAAhALaDOJL+AAAA4QEA&#10;ABMAAAAAAAAAAAAAAAAAAAAAAFtDb250ZW50X1R5cGVzXS54bWxQSwECLQAUAAYACAAAACEAOP0h&#10;/9YAAACUAQAACwAAAAAAAAAAAAAAAAAvAQAAX3JlbHMvLnJlbHNQSwECLQAUAAYACAAAACEAxqh0&#10;ekUCAACDBAAADgAAAAAAAAAAAAAAAAAuAgAAZHJzL2Uyb0RvYy54bWxQSwECLQAUAAYACAAAACEA&#10;JVOml+MAAAALAQAADwAAAAAAAAAAAAAAAACfBAAAZHJzL2Rvd25yZXYueG1sUEsFBgAAAAAEAAQA&#10;8wAAAK8FAAAAAA==&#10;" fillcolor="white [3201]" stroked="f" strokeweight=".5pt">
                <v:textbox>
                  <w:txbxContent>
                    <w:p w:rsidR="00430B8E" w:rsidRPr="0039593D" w:rsidRDefault="00430B8E" w:rsidP="0039593D">
                      <w:pPr>
                        <w:rPr>
                          <w:sz w:val="20"/>
                          <w:szCs w:val="20"/>
                        </w:rPr>
                      </w:pPr>
                      <w:r w:rsidRPr="0039593D">
                        <w:rPr>
                          <w:sz w:val="20"/>
                          <w:szCs w:val="20"/>
                        </w:rPr>
                        <w:t xml:space="preserve">Case study and image provided by The Nature Conservancy. </w:t>
                      </w:r>
                    </w:p>
                  </w:txbxContent>
                </v:textbox>
                <w10:wrap type="square"/>
              </v:shape>
            </w:pict>
          </mc:Fallback>
        </mc:AlternateContent>
      </w:r>
      <w:r>
        <w:rPr>
          <w:noProof/>
        </w:rPr>
        <w:drawing>
          <wp:anchor distT="0" distB="0" distL="114300" distR="114300" simplePos="0" relativeHeight="251691008" behindDoc="0" locked="0" layoutInCell="1" allowOverlap="1">
            <wp:simplePos x="0" y="0"/>
            <wp:positionH relativeFrom="column">
              <wp:posOffset>47625</wp:posOffset>
            </wp:positionH>
            <wp:positionV relativeFrom="paragraph">
              <wp:posOffset>1270</wp:posOffset>
            </wp:positionV>
            <wp:extent cx="2943225" cy="221615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943225" cy="2216150"/>
                    </a:xfrm>
                    <a:prstGeom prst="rect">
                      <a:avLst/>
                    </a:prstGeom>
                  </pic:spPr>
                </pic:pic>
              </a:graphicData>
            </a:graphic>
            <wp14:sizeRelH relativeFrom="page">
              <wp14:pctWidth>0</wp14:pctWidth>
            </wp14:sizeRelH>
            <wp14:sizeRelV relativeFrom="page">
              <wp14:pctHeight>0</wp14:pctHeight>
            </wp14:sizeRelV>
          </wp:anchor>
        </w:drawing>
      </w:r>
      <w:r w:rsidR="000E096B" w:rsidRPr="000E096B">
        <w:rPr>
          <w:noProof/>
        </w:rPr>
        <w:t>Reconnecting rivers to floodplains can facilitate groundwater recharge. A recent project along the Cosumnes River is one of the first to intentionally demonstrate this recharge benefit. While this project was expensive and more complex than many forms of recharge, public funding paid for the project and a partnership with UC Davis is improving the understanding of groundwater-surface water interactions and basin groundwater conditions. In 2014, The Nature Conservancy piloted this concept by selectively removing portions of a private levee system along the Cosumnes River to enhance floodplain processes and restore approximately 500 acres of riparian habitat. The levee removal project offers multiple environmental benefits, including increased groundwater recharge in the floodplain.</w:t>
      </w:r>
    </w:p>
    <w:p w:rsidR="00230E9E" w:rsidRDefault="00230E9E" w:rsidP="00FD20DA">
      <w:pPr>
        <w:spacing w:before="120" w:after="0" w:line="276" w:lineRule="auto"/>
        <w:rPr>
          <w:b/>
          <w:color w:val="31849B" w:themeColor="accent5" w:themeShade="BF"/>
          <w:sz w:val="32"/>
        </w:rPr>
      </w:pPr>
      <w:r>
        <w:rPr>
          <w:b/>
          <w:color w:val="31849B" w:themeColor="accent5" w:themeShade="BF"/>
          <w:sz w:val="32"/>
        </w:rPr>
        <w:t xml:space="preserve">Arvin-Edison Water Storage District, In-Lieu </w:t>
      </w:r>
      <w:r w:rsidR="00FD20DA">
        <w:rPr>
          <w:b/>
          <w:color w:val="31849B" w:themeColor="accent5" w:themeShade="BF"/>
          <w:sz w:val="32"/>
        </w:rPr>
        <w:t>Program</w:t>
      </w:r>
    </w:p>
    <w:p w:rsidR="0012614C" w:rsidRDefault="00857AA0" w:rsidP="00857AA0">
      <w:pPr>
        <w:spacing w:after="0" w:line="276" w:lineRule="auto"/>
        <w:rPr>
          <w:b/>
          <w:color w:val="31849B" w:themeColor="accent5" w:themeShade="BF"/>
          <w:sz w:val="32"/>
        </w:rPr>
      </w:pPr>
      <w:r>
        <w:rPr>
          <w:noProof/>
        </w:rPr>
        <w:t xml:space="preserve">Arvin-Edison Water Storage District (District) has developed an in-lieu groundwater program. When the District has available water supplies in excess of the current needs within their surface water service area, the avilable water supplies can be delivred to ‘In-Lieu Water User’ or landowners interested in in-lieu supplies. This program allows the District to reduce groundwater pumping and allow supplies to to recharge in their groundwater facilitites. Overtime the In-Lieu Program is an opportunity to </w:t>
      </w:r>
      <w:r w:rsidR="0012614C" w:rsidRPr="00FD20DA">
        <w:rPr>
          <w:noProof/>
        </w:rPr>
        <w:t xml:space="preserve">improve </w:t>
      </w:r>
      <w:r>
        <w:rPr>
          <w:noProof/>
        </w:rPr>
        <w:t xml:space="preserve">and stabilize the </w:t>
      </w:r>
      <w:r w:rsidR="0012614C" w:rsidRPr="00FD20DA">
        <w:rPr>
          <w:noProof/>
        </w:rPr>
        <w:t>groundwater conditions within the District</w:t>
      </w:r>
      <w:r>
        <w:rPr>
          <w:noProof/>
        </w:rPr>
        <w:t xml:space="preserve">. </w:t>
      </w:r>
    </w:p>
    <w:p w:rsidR="000E096B" w:rsidRPr="000E096B" w:rsidRDefault="00430B8E" w:rsidP="000E096B">
      <w:pPr>
        <w:spacing w:before="120" w:after="0" w:line="276" w:lineRule="auto"/>
        <w:rPr>
          <w:b/>
          <w:color w:val="31849B" w:themeColor="accent5" w:themeShade="BF"/>
          <w:sz w:val="32"/>
        </w:rPr>
      </w:pPr>
      <w:r>
        <w:rPr>
          <w:noProof/>
        </w:rPr>
        <w:drawing>
          <wp:anchor distT="0" distB="0" distL="114300" distR="114300" simplePos="0" relativeHeight="251689984" behindDoc="0" locked="0" layoutInCell="1" allowOverlap="1">
            <wp:simplePos x="0" y="0"/>
            <wp:positionH relativeFrom="column">
              <wp:posOffset>4514850</wp:posOffset>
            </wp:positionH>
            <wp:positionV relativeFrom="paragraph">
              <wp:posOffset>172720</wp:posOffset>
            </wp:positionV>
            <wp:extent cx="1562100" cy="1802765"/>
            <wp:effectExtent l="0" t="0" r="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562100" cy="1802765"/>
                    </a:xfrm>
                    <a:prstGeom prst="rect">
                      <a:avLst/>
                    </a:prstGeom>
                  </pic:spPr>
                </pic:pic>
              </a:graphicData>
            </a:graphic>
            <wp14:sizeRelH relativeFrom="page">
              <wp14:pctWidth>0</wp14:pctWidth>
            </wp14:sizeRelH>
            <wp14:sizeRelV relativeFrom="page">
              <wp14:pctHeight>0</wp14:pctHeight>
            </wp14:sizeRelV>
          </wp:anchor>
        </w:drawing>
      </w:r>
      <w:r w:rsidR="000E096B">
        <w:rPr>
          <w:b/>
          <w:color w:val="31849B" w:themeColor="accent5" w:themeShade="BF"/>
          <w:sz w:val="32"/>
        </w:rPr>
        <w:t xml:space="preserve">Ventura County, </w:t>
      </w:r>
      <w:r w:rsidR="000E096B" w:rsidRPr="000E096B">
        <w:rPr>
          <w:b/>
          <w:color w:val="31849B" w:themeColor="accent5" w:themeShade="BF"/>
          <w:sz w:val="32"/>
        </w:rPr>
        <w:t>Treated Wastewater as a Multi-Benefit Groundwater Sustainability Project</w:t>
      </w:r>
    </w:p>
    <w:p w:rsidR="00430B8E" w:rsidRDefault="00725948" w:rsidP="000E096B">
      <w:pPr>
        <w:spacing w:after="0" w:line="276" w:lineRule="auto"/>
        <w:rPr>
          <w:noProof/>
        </w:rPr>
      </w:pPr>
      <w:r>
        <w:rPr>
          <w:b/>
          <w:noProof/>
          <w:color w:val="31849B" w:themeColor="accent5" w:themeShade="BF"/>
          <w:sz w:val="32"/>
        </w:rPr>
        <mc:AlternateContent>
          <mc:Choice Requires="wps">
            <w:drawing>
              <wp:anchor distT="0" distB="0" distL="114300" distR="114300" simplePos="0" relativeHeight="251698176" behindDoc="0" locked="0" layoutInCell="1" allowOverlap="1" wp14:anchorId="772FE35D" wp14:editId="0332608C">
                <wp:simplePos x="0" y="0"/>
                <wp:positionH relativeFrom="column">
                  <wp:posOffset>4371975</wp:posOffset>
                </wp:positionH>
                <wp:positionV relativeFrom="paragraph">
                  <wp:posOffset>1450340</wp:posOffset>
                </wp:positionV>
                <wp:extent cx="1847850" cy="466725"/>
                <wp:effectExtent l="0" t="0" r="0" b="9525"/>
                <wp:wrapSquare wrapText="bothSides"/>
                <wp:docPr id="28" name="Text Box 28"/>
                <wp:cNvGraphicFramePr/>
                <a:graphic xmlns:a="http://schemas.openxmlformats.org/drawingml/2006/main">
                  <a:graphicData uri="http://schemas.microsoft.com/office/word/2010/wordprocessingShape">
                    <wps:wsp>
                      <wps:cNvSpPr txBox="1"/>
                      <wps:spPr>
                        <a:xfrm>
                          <a:off x="0" y="0"/>
                          <a:ext cx="1847850" cy="466725"/>
                        </a:xfrm>
                        <a:prstGeom prst="rect">
                          <a:avLst/>
                        </a:prstGeom>
                        <a:solidFill>
                          <a:schemeClr val="lt1"/>
                        </a:solidFill>
                        <a:ln w="6350">
                          <a:noFill/>
                        </a:ln>
                      </wps:spPr>
                      <wps:txbx>
                        <w:txbxContent>
                          <w:p w:rsidR="00430B8E" w:rsidRPr="0039593D" w:rsidRDefault="00430B8E" w:rsidP="00725948">
                            <w:pPr>
                              <w:jc w:val="center"/>
                              <w:rPr>
                                <w:sz w:val="20"/>
                                <w:szCs w:val="20"/>
                              </w:rPr>
                            </w:pPr>
                            <w:r w:rsidRPr="0039593D">
                              <w:rPr>
                                <w:sz w:val="20"/>
                                <w:szCs w:val="20"/>
                              </w:rPr>
                              <w:t>Case study and image provided by The Nature Conservancy.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E35D" id="Text Box 28" o:spid="_x0000_s1041" type="#_x0000_t202" style="position:absolute;margin-left:344.25pt;margin-top:114.2pt;width:145.5pt;height:3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h9QwIAAIMEAAAOAAAAZHJzL2Uyb0RvYy54bWysVMtu2zAQvBfoPxC8N7Jdx3EEy4GbIEWB&#10;IAkQFznTFGULoLgsSVtyv75Dyo807anohdoXl7szu5rddI1mO+V8Tabgw4sBZ8pIKmuzLvj35f2n&#10;KWc+CFMKTUYVfK88v5l//DBrba5GtCFdKseQxPi8tQXfhGDzLPNyoxrhL8gqA2dFrhEBqltnpRMt&#10;sjc6Gw0Gk6wlV1pHUnkP613v5POUv6qUDE9V5VVguuCoLaTTpXMVz2w+E/naCbup5aEM8Q9VNKI2&#10;ePSU6k4Ewbau/iNVU0tHnqpwIanJqKpqqVIP6GY4eNfNy0ZYlXoBON6eYPL/L6183D07VpcFH4Ep&#10;IxpwtFRdYF+oYzABn9b6HGEvFoGhgx08H+0exth2V7kmftEQgx9I70/oxmwyXpqOr6aXcEn4xpPJ&#10;1egypsnOt63z4auihkWh4A7sJVDF7sGHPvQYEh/zpOvyvtY6KXFi1K12bCfAtQ6pRiT/LUob1hZ8&#10;8hllxEuG4vU+szaoJfba9xSl0K26hM0wVRpNKyr3wMFRP0neyvsaxT4IH56Fw+igP6xDeMJRacJj&#10;dJA425D7+Td7jAej8HLWYhQL7n9shVOc6W8GXF8Px+M4u0kZX16NoLi3ntVbj9k2twQEhlg8K5MY&#10;44M+ipWj5hVbs4ivwiWMxNsFD0fxNvQLgq2TarFIQZhWK8KDebEypo7gRSqW3atw9sBXANOPdBxa&#10;kb+jrY/tYV9sA1V14vSM6gF/THqaisNWxlV6q6eo879j/gsAAP//AwBQSwMEFAAGAAgAAAAhAIOt&#10;KeDjAAAACwEAAA8AAABkcnMvZG93bnJldi54bWxMj01Pg0AQhu8m/ofNmHgxdinYFpChMcaPxJvF&#10;j3jbsisQ2VnCbin+e8eTHmfmyTvPW2xn24vJjL5zhLBcRCAM1U531CC8VPeXKQgfFGnVOzII38bD&#10;tjw9KVSu3ZGezbQLjeAQ8rlCaEMYcil93Rqr/MINhvj26UarAo9jI/WojhxuexlH0Vpa1RF/aNVg&#10;bltTf+0OFuHjonl/8vPD6zFZJcPd41Rt3nSFeH4231yDCGYOfzD86rM6lOy0dwfSXvQI6zRdMYoQ&#10;x+kVCCayTcabPUISLTOQZSH/dyh/AAAA//8DAFBLAQItABQABgAIAAAAIQC2gziS/gAAAOEBAAAT&#10;AAAAAAAAAAAAAAAAAAAAAABbQ29udGVudF9UeXBlc10ueG1sUEsBAi0AFAAGAAgAAAAhADj9If/W&#10;AAAAlAEAAAsAAAAAAAAAAAAAAAAALwEAAF9yZWxzLy5yZWxzUEsBAi0AFAAGAAgAAAAhAJ2umH1D&#10;AgAAgwQAAA4AAAAAAAAAAAAAAAAALgIAAGRycy9lMm9Eb2MueG1sUEsBAi0AFAAGAAgAAAAhAIOt&#10;KeDjAAAACwEAAA8AAAAAAAAAAAAAAAAAnQQAAGRycy9kb3ducmV2LnhtbFBLBQYAAAAABAAEAPMA&#10;AACtBQAAAAA=&#10;" fillcolor="white [3201]" stroked="f" strokeweight=".5pt">
                <v:textbox>
                  <w:txbxContent>
                    <w:p w:rsidR="00430B8E" w:rsidRPr="0039593D" w:rsidRDefault="00430B8E" w:rsidP="00725948">
                      <w:pPr>
                        <w:jc w:val="center"/>
                        <w:rPr>
                          <w:sz w:val="20"/>
                          <w:szCs w:val="20"/>
                        </w:rPr>
                      </w:pPr>
                      <w:r w:rsidRPr="0039593D">
                        <w:rPr>
                          <w:sz w:val="20"/>
                          <w:szCs w:val="20"/>
                        </w:rPr>
                        <w:t>Case study and image provided by The Nature Conservancy.</w:t>
                      </w:r>
                    </w:p>
                  </w:txbxContent>
                </v:textbox>
                <w10:wrap type="square"/>
              </v:shape>
            </w:pict>
          </mc:Fallback>
        </mc:AlternateContent>
      </w:r>
      <w:r w:rsidR="000E096B" w:rsidRPr="000E096B">
        <w:rPr>
          <w:noProof/>
        </w:rPr>
        <w:t xml:space="preserve">The Arroyo Las Posas, a creek in Ventura County, is a good example of a stream supported by flows from a wastewater treatment plant (WWTP). These flows are a significant factor in the basin’s water balance and support important GDEs. How this treated water is used in the future may therefore play a significant role in planning for the basin’s groundwater sustainability. Recycled water from treated wastewater is recognized as an important source of water supply. Before proposing expensive water recycling projects though, water managers should consider the multiple benefits provided by the treated water being discharged to streams or rivers. As pressures increase to reuse this water to augment supplies, groundwater sustainability agencies (GSAs) should consider the potential negative impacts of discontinuing WWTP discharges to streams, </w:t>
      </w:r>
    </w:p>
    <w:p w:rsidR="000E096B" w:rsidRPr="000E096B" w:rsidRDefault="000E096B" w:rsidP="000E096B">
      <w:pPr>
        <w:spacing w:after="0" w:line="276" w:lineRule="auto"/>
        <w:rPr>
          <w:noProof/>
        </w:rPr>
      </w:pPr>
      <w:r w:rsidRPr="000E096B">
        <w:rPr>
          <w:noProof/>
        </w:rPr>
        <w:t>including decreases in recharge and impacts to localized groundwater dependent ecosystems (GDEs).</w:t>
      </w:r>
    </w:p>
    <w:p w:rsidR="007F09C3" w:rsidRDefault="00750B95" w:rsidP="00E90CFD">
      <w:pPr>
        <w:pStyle w:val="Heading1"/>
        <w:spacing w:before="120" w:after="120"/>
      </w:pPr>
      <w:r>
        <w:lastRenderedPageBreak/>
        <w:t xml:space="preserve">Anticipated Challenges </w:t>
      </w:r>
    </w:p>
    <w:p w:rsidR="0033601D" w:rsidRPr="00463E18" w:rsidRDefault="00463E18" w:rsidP="00463E18">
      <w:pPr>
        <w:spacing w:after="0" w:line="276" w:lineRule="auto"/>
        <w:rPr>
          <w:sz w:val="22"/>
          <w:szCs w:val="22"/>
        </w:rPr>
      </w:pPr>
      <w:r w:rsidRPr="00463E18">
        <w:rPr>
          <w:sz w:val="22"/>
          <w:szCs w:val="22"/>
        </w:rPr>
        <w:t xml:space="preserve">With </w:t>
      </w:r>
      <w:r w:rsidR="007C2B99" w:rsidRPr="00463E18">
        <w:rPr>
          <w:sz w:val="22"/>
          <w:szCs w:val="22"/>
        </w:rPr>
        <w:t xml:space="preserve">helpful tools and </w:t>
      </w:r>
      <w:r w:rsidRPr="00463E18">
        <w:rPr>
          <w:sz w:val="22"/>
          <w:szCs w:val="22"/>
        </w:rPr>
        <w:t xml:space="preserve">available </w:t>
      </w:r>
      <w:r w:rsidR="007C2B99" w:rsidRPr="00463E18">
        <w:rPr>
          <w:sz w:val="22"/>
          <w:szCs w:val="22"/>
        </w:rPr>
        <w:t>resources</w:t>
      </w:r>
      <w:r w:rsidRPr="00463E18">
        <w:rPr>
          <w:sz w:val="22"/>
          <w:szCs w:val="22"/>
        </w:rPr>
        <w:t xml:space="preserve"> for GSAs</w:t>
      </w:r>
      <w:r w:rsidR="007C2B99" w:rsidRPr="00463E18">
        <w:rPr>
          <w:sz w:val="22"/>
          <w:szCs w:val="22"/>
        </w:rPr>
        <w:t>, replenishing California’s groundwater basins will still have anticipated challenges. The following are several critical challenges that must continue</w:t>
      </w:r>
      <w:r w:rsidRPr="00463E18">
        <w:rPr>
          <w:sz w:val="22"/>
          <w:szCs w:val="22"/>
        </w:rPr>
        <w:t xml:space="preserve"> to be addressed</w:t>
      </w:r>
      <w:r w:rsidR="007C2B99" w:rsidRPr="00463E18">
        <w:rPr>
          <w:sz w:val="22"/>
          <w:szCs w:val="22"/>
        </w:rPr>
        <w:t xml:space="preserve"> in future discussions related to groundwater recharge</w:t>
      </w:r>
      <w:r w:rsidR="0033601D" w:rsidRPr="00463E18">
        <w:rPr>
          <w:sz w:val="22"/>
          <w:szCs w:val="22"/>
        </w:rPr>
        <w:t xml:space="preserve">: </w:t>
      </w:r>
    </w:p>
    <w:p w:rsidR="0033601D" w:rsidRPr="00463E18" w:rsidRDefault="0033601D" w:rsidP="00E90CFD">
      <w:pPr>
        <w:spacing w:after="0" w:line="276" w:lineRule="auto"/>
        <w:rPr>
          <w:sz w:val="22"/>
          <w:szCs w:val="22"/>
        </w:rPr>
      </w:pPr>
    </w:p>
    <w:p w:rsidR="007F09C3" w:rsidRPr="00463E18" w:rsidRDefault="00750B95" w:rsidP="00725948">
      <w:pPr>
        <w:spacing w:after="0" w:line="276" w:lineRule="auto"/>
        <w:ind w:left="450"/>
        <w:rPr>
          <w:b/>
          <w:color w:val="000000"/>
          <w:sz w:val="22"/>
          <w:szCs w:val="22"/>
        </w:rPr>
      </w:pPr>
      <w:r w:rsidRPr="00463E18">
        <w:rPr>
          <w:b/>
          <w:color w:val="31849B" w:themeColor="accent5" w:themeShade="BF"/>
          <w:sz w:val="22"/>
          <w:szCs w:val="22"/>
        </w:rPr>
        <w:t>Time is Essential</w:t>
      </w:r>
      <w:r w:rsidR="0033601D" w:rsidRPr="00463E18">
        <w:rPr>
          <w:b/>
          <w:color w:val="31849B" w:themeColor="accent5" w:themeShade="BF"/>
          <w:sz w:val="22"/>
          <w:szCs w:val="22"/>
        </w:rPr>
        <w:t xml:space="preserve">. </w:t>
      </w:r>
      <w:r w:rsidR="0033601D" w:rsidRPr="00463E18">
        <w:rPr>
          <w:bCs/>
          <w:color w:val="000000"/>
          <w:sz w:val="22"/>
          <w:szCs w:val="22"/>
        </w:rPr>
        <w:t>As defined under SGMA, GSAs have a 20-year planning and implementation horizon to bring basins into sustainable yield. However, time is essential when it comes to determining a balance ratio of extraction and recharge, in particular for basins that are already critically-</w:t>
      </w:r>
      <w:proofErr w:type="spellStart"/>
      <w:r w:rsidR="0033601D" w:rsidRPr="00463E18">
        <w:rPr>
          <w:bCs/>
          <w:color w:val="000000"/>
          <w:sz w:val="22"/>
          <w:szCs w:val="22"/>
        </w:rPr>
        <w:t>overdrafted</w:t>
      </w:r>
      <w:proofErr w:type="spellEnd"/>
      <w:r w:rsidR="0033601D" w:rsidRPr="00463E18">
        <w:rPr>
          <w:bCs/>
          <w:color w:val="000000"/>
          <w:sz w:val="22"/>
          <w:szCs w:val="22"/>
        </w:rPr>
        <w:t xml:space="preserve"> and in need of groundwater replenishment.</w:t>
      </w:r>
      <w:r w:rsidR="0033601D" w:rsidRPr="00463E18">
        <w:rPr>
          <w:b/>
          <w:color w:val="000000"/>
          <w:sz w:val="22"/>
          <w:szCs w:val="22"/>
        </w:rPr>
        <w:t xml:space="preserve"> </w:t>
      </w:r>
    </w:p>
    <w:p w:rsidR="0033601D" w:rsidRPr="00463E18" w:rsidRDefault="0033601D" w:rsidP="00725948">
      <w:pPr>
        <w:pBdr>
          <w:top w:val="nil"/>
          <w:left w:val="nil"/>
          <w:bottom w:val="nil"/>
          <w:right w:val="nil"/>
          <w:between w:val="nil"/>
        </w:pBdr>
        <w:spacing w:after="0" w:line="276" w:lineRule="auto"/>
        <w:ind w:left="450"/>
        <w:rPr>
          <w:b/>
          <w:color w:val="000000"/>
          <w:sz w:val="22"/>
          <w:szCs w:val="22"/>
        </w:rPr>
      </w:pPr>
    </w:p>
    <w:p w:rsidR="00D67805" w:rsidRPr="00463E18" w:rsidRDefault="00C235A4" w:rsidP="00D67805">
      <w:pPr>
        <w:pBdr>
          <w:top w:val="nil"/>
          <w:left w:val="nil"/>
          <w:bottom w:val="nil"/>
          <w:right w:val="nil"/>
          <w:between w:val="nil"/>
        </w:pBdr>
        <w:spacing w:after="0" w:line="276" w:lineRule="auto"/>
        <w:ind w:left="450"/>
        <w:rPr>
          <w:bCs/>
          <w:color w:val="000000"/>
          <w:sz w:val="22"/>
          <w:szCs w:val="22"/>
        </w:rPr>
      </w:pPr>
      <w:r w:rsidRPr="00463E18">
        <w:rPr>
          <w:b/>
          <w:color w:val="31849B" w:themeColor="accent5" w:themeShade="BF"/>
          <w:sz w:val="22"/>
          <w:szCs w:val="22"/>
        </w:rPr>
        <w:t xml:space="preserve">Changes in </w:t>
      </w:r>
      <w:r w:rsidR="00D67805" w:rsidRPr="00463E18">
        <w:rPr>
          <w:b/>
          <w:color w:val="31849B" w:themeColor="accent5" w:themeShade="BF"/>
          <w:sz w:val="22"/>
          <w:szCs w:val="22"/>
        </w:rPr>
        <w:t>Groundwater Use</w:t>
      </w:r>
      <w:r w:rsidRPr="00463E18">
        <w:rPr>
          <w:b/>
          <w:color w:val="31849B" w:themeColor="accent5" w:themeShade="BF"/>
          <w:sz w:val="22"/>
          <w:szCs w:val="22"/>
        </w:rPr>
        <w:t xml:space="preserve">. </w:t>
      </w:r>
      <w:r w:rsidR="0033601D" w:rsidRPr="00463E18">
        <w:rPr>
          <w:bCs/>
          <w:color w:val="000000"/>
          <w:sz w:val="22"/>
          <w:szCs w:val="22"/>
        </w:rPr>
        <w:t xml:space="preserve">As is anticipated </w:t>
      </w:r>
      <w:r w:rsidR="00725948" w:rsidRPr="00463E18">
        <w:rPr>
          <w:bCs/>
          <w:color w:val="000000"/>
          <w:sz w:val="22"/>
          <w:szCs w:val="22"/>
        </w:rPr>
        <w:t xml:space="preserve">with </w:t>
      </w:r>
      <w:r w:rsidR="0033601D" w:rsidRPr="00463E18">
        <w:rPr>
          <w:bCs/>
          <w:color w:val="000000"/>
          <w:sz w:val="22"/>
          <w:szCs w:val="22"/>
        </w:rPr>
        <w:t xml:space="preserve">water supply augmentation, a reduction in groundwater pumping may be necessary </w:t>
      </w:r>
      <w:r w:rsidR="00725948" w:rsidRPr="00463E18">
        <w:rPr>
          <w:bCs/>
          <w:color w:val="000000"/>
          <w:sz w:val="22"/>
          <w:szCs w:val="22"/>
        </w:rPr>
        <w:t xml:space="preserve">action </w:t>
      </w:r>
      <w:r w:rsidR="0033601D" w:rsidRPr="00463E18">
        <w:rPr>
          <w:bCs/>
          <w:color w:val="000000"/>
          <w:sz w:val="22"/>
          <w:szCs w:val="22"/>
        </w:rPr>
        <w:t>for GSAs</w:t>
      </w:r>
      <w:r w:rsidR="00D67805" w:rsidRPr="00463E18">
        <w:rPr>
          <w:bCs/>
          <w:color w:val="000000"/>
          <w:sz w:val="22"/>
          <w:szCs w:val="22"/>
        </w:rPr>
        <w:t xml:space="preserve"> to take</w:t>
      </w:r>
      <w:r w:rsidR="0033601D" w:rsidRPr="00463E18">
        <w:rPr>
          <w:bCs/>
          <w:color w:val="000000"/>
          <w:sz w:val="22"/>
          <w:szCs w:val="22"/>
        </w:rPr>
        <w:t xml:space="preserve">. This </w:t>
      </w:r>
      <w:r w:rsidR="00725948" w:rsidRPr="00463E18">
        <w:rPr>
          <w:bCs/>
          <w:color w:val="000000"/>
          <w:sz w:val="22"/>
          <w:szCs w:val="22"/>
        </w:rPr>
        <w:t xml:space="preserve">could </w:t>
      </w:r>
      <w:r w:rsidR="0033601D" w:rsidRPr="00463E18">
        <w:rPr>
          <w:bCs/>
          <w:color w:val="000000"/>
          <w:sz w:val="22"/>
          <w:szCs w:val="22"/>
        </w:rPr>
        <w:t xml:space="preserve">impact </w:t>
      </w:r>
      <w:r w:rsidR="00D67805" w:rsidRPr="00463E18">
        <w:rPr>
          <w:bCs/>
          <w:color w:val="000000"/>
          <w:sz w:val="22"/>
          <w:szCs w:val="22"/>
        </w:rPr>
        <w:t xml:space="preserve">drinking water for </w:t>
      </w:r>
      <w:r w:rsidR="0033601D" w:rsidRPr="00463E18">
        <w:rPr>
          <w:bCs/>
          <w:color w:val="000000"/>
          <w:sz w:val="22"/>
          <w:szCs w:val="22"/>
        </w:rPr>
        <w:t xml:space="preserve">communities </w:t>
      </w:r>
      <w:r w:rsidR="00725948" w:rsidRPr="00463E18">
        <w:rPr>
          <w:bCs/>
          <w:color w:val="000000"/>
          <w:sz w:val="22"/>
          <w:szCs w:val="22"/>
        </w:rPr>
        <w:t xml:space="preserve">that are groundwater-dependent and </w:t>
      </w:r>
      <w:r w:rsidR="0033601D" w:rsidRPr="00463E18">
        <w:rPr>
          <w:bCs/>
          <w:color w:val="000000"/>
          <w:sz w:val="22"/>
          <w:szCs w:val="22"/>
        </w:rPr>
        <w:t xml:space="preserve">agricultural practices that </w:t>
      </w:r>
      <w:r w:rsidR="00725948" w:rsidRPr="00463E18">
        <w:rPr>
          <w:bCs/>
          <w:color w:val="000000"/>
          <w:sz w:val="22"/>
          <w:szCs w:val="22"/>
        </w:rPr>
        <w:t xml:space="preserve">use groundwater </w:t>
      </w:r>
      <w:r w:rsidR="0033601D" w:rsidRPr="00463E18">
        <w:rPr>
          <w:bCs/>
          <w:color w:val="000000"/>
          <w:sz w:val="22"/>
          <w:szCs w:val="22"/>
        </w:rPr>
        <w:t xml:space="preserve">as their primary water source. </w:t>
      </w:r>
      <w:r w:rsidR="00D67805" w:rsidRPr="00463E18">
        <w:rPr>
          <w:bCs/>
          <w:color w:val="000000"/>
          <w:sz w:val="22"/>
          <w:szCs w:val="22"/>
        </w:rPr>
        <w:t xml:space="preserve">This could lead to a reduced amount of water available for agricultural use and eventual land fallowing. This could significantly impact California’s agricultural industry and economy at-large. </w:t>
      </w:r>
    </w:p>
    <w:p w:rsidR="00E90CFD" w:rsidRPr="00463E18" w:rsidRDefault="00E90CFD" w:rsidP="00725948">
      <w:pPr>
        <w:pBdr>
          <w:top w:val="nil"/>
          <w:left w:val="nil"/>
          <w:bottom w:val="nil"/>
          <w:right w:val="nil"/>
          <w:between w:val="nil"/>
        </w:pBdr>
        <w:spacing w:after="0" w:line="276" w:lineRule="auto"/>
        <w:ind w:left="450"/>
        <w:rPr>
          <w:bCs/>
          <w:color w:val="000000"/>
          <w:sz w:val="22"/>
          <w:szCs w:val="22"/>
        </w:rPr>
      </w:pPr>
    </w:p>
    <w:p w:rsidR="007F09C3" w:rsidRPr="00463E18" w:rsidRDefault="00E90CFD" w:rsidP="00D67805">
      <w:pPr>
        <w:pBdr>
          <w:top w:val="nil"/>
          <w:left w:val="nil"/>
          <w:bottom w:val="nil"/>
          <w:right w:val="nil"/>
          <w:between w:val="nil"/>
        </w:pBdr>
        <w:spacing w:after="0" w:line="276" w:lineRule="auto"/>
        <w:ind w:left="450"/>
        <w:rPr>
          <w:bCs/>
          <w:color w:val="000000"/>
          <w:sz w:val="22"/>
          <w:szCs w:val="22"/>
        </w:rPr>
      </w:pPr>
      <w:r w:rsidRPr="00463E18">
        <w:rPr>
          <w:b/>
          <w:color w:val="31849B" w:themeColor="accent5" w:themeShade="BF"/>
          <w:sz w:val="22"/>
          <w:szCs w:val="22"/>
        </w:rPr>
        <w:t>State and Local Coordination.</w:t>
      </w:r>
      <w:r w:rsidRPr="00463E18">
        <w:rPr>
          <w:bCs/>
          <w:color w:val="31849B" w:themeColor="accent5" w:themeShade="BF"/>
          <w:sz w:val="22"/>
          <w:szCs w:val="22"/>
        </w:rPr>
        <w:t xml:space="preserve"> </w:t>
      </w:r>
      <w:r w:rsidR="00725948" w:rsidRPr="00463E18">
        <w:rPr>
          <w:bCs/>
          <w:color w:val="000000"/>
          <w:sz w:val="22"/>
          <w:szCs w:val="22"/>
        </w:rPr>
        <w:t>C</w:t>
      </w:r>
      <w:r w:rsidRPr="00463E18">
        <w:rPr>
          <w:bCs/>
          <w:color w:val="000000"/>
          <w:sz w:val="22"/>
          <w:szCs w:val="22"/>
        </w:rPr>
        <w:t xml:space="preserve">lose coordination will </w:t>
      </w:r>
      <w:r w:rsidR="00D67805" w:rsidRPr="00463E18">
        <w:rPr>
          <w:bCs/>
          <w:color w:val="000000"/>
          <w:sz w:val="22"/>
          <w:szCs w:val="22"/>
        </w:rPr>
        <w:t xml:space="preserve">be essential and will </w:t>
      </w:r>
      <w:r w:rsidRPr="00463E18">
        <w:rPr>
          <w:bCs/>
          <w:color w:val="000000"/>
          <w:sz w:val="22"/>
          <w:szCs w:val="22"/>
        </w:rPr>
        <w:t xml:space="preserve">need to occur between state and local agencies to ensure that surface water supplies </w:t>
      </w:r>
      <w:r w:rsidR="00725948" w:rsidRPr="00463E18">
        <w:rPr>
          <w:bCs/>
          <w:color w:val="000000"/>
          <w:sz w:val="22"/>
          <w:szCs w:val="22"/>
        </w:rPr>
        <w:t>can be flexibly managed to maximize the amount of water that can be put towards recharging groundwater basins</w:t>
      </w:r>
      <w:r w:rsidR="00C235A4" w:rsidRPr="00463E18">
        <w:rPr>
          <w:bCs/>
          <w:color w:val="000000"/>
          <w:sz w:val="22"/>
          <w:szCs w:val="22"/>
        </w:rPr>
        <w:t xml:space="preserve">. Similarly, coordination between </w:t>
      </w:r>
      <w:r w:rsidR="00D67805" w:rsidRPr="00463E18">
        <w:rPr>
          <w:bCs/>
          <w:color w:val="000000"/>
          <w:sz w:val="22"/>
          <w:szCs w:val="22"/>
        </w:rPr>
        <w:t xml:space="preserve">GSAs </w:t>
      </w:r>
      <w:r w:rsidR="00C235A4" w:rsidRPr="00463E18">
        <w:rPr>
          <w:bCs/>
          <w:color w:val="000000"/>
          <w:sz w:val="22"/>
          <w:szCs w:val="22"/>
        </w:rPr>
        <w:t>will need to occur to be able to ensure basin management activities between neighboring basins are</w:t>
      </w:r>
      <w:r w:rsidR="00D67805" w:rsidRPr="00463E18">
        <w:rPr>
          <w:bCs/>
          <w:color w:val="000000"/>
          <w:sz w:val="22"/>
          <w:szCs w:val="22"/>
        </w:rPr>
        <w:t xml:space="preserve"> not</w:t>
      </w:r>
      <w:r w:rsidR="00C235A4" w:rsidRPr="00463E18">
        <w:rPr>
          <w:bCs/>
          <w:color w:val="000000"/>
          <w:sz w:val="22"/>
          <w:szCs w:val="22"/>
        </w:rPr>
        <w:t xml:space="preserve"> in conflict with one another.</w:t>
      </w:r>
    </w:p>
    <w:p w:rsidR="00E90CFD" w:rsidRPr="00463E18" w:rsidRDefault="00E90CFD" w:rsidP="00725948">
      <w:pPr>
        <w:pBdr>
          <w:top w:val="nil"/>
          <w:left w:val="nil"/>
          <w:bottom w:val="nil"/>
          <w:right w:val="nil"/>
          <w:between w:val="nil"/>
        </w:pBdr>
        <w:spacing w:after="0" w:line="276" w:lineRule="auto"/>
        <w:ind w:left="450"/>
        <w:rPr>
          <w:bCs/>
          <w:color w:val="000000"/>
          <w:sz w:val="22"/>
          <w:szCs w:val="22"/>
        </w:rPr>
      </w:pPr>
    </w:p>
    <w:p w:rsidR="00E90CFD" w:rsidRPr="00463E18" w:rsidRDefault="00D67805" w:rsidP="00D67805">
      <w:pPr>
        <w:pBdr>
          <w:top w:val="nil"/>
          <w:left w:val="nil"/>
          <w:bottom w:val="nil"/>
          <w:right w:val="nil"/>
          <w:between w:val="nil"/>
        </w:pBdr>
        <w:spacing w:after="0" w:line="276" w:lineRule="auto"/>
        <w:ind w:left="450"/>
        <w:rPr>
          <w:bCs/>
          <w:color w:val="000000"/>
          <w:sz w:val="22"/>
          <w:szCs w:val="22"/>
        </w:rPr>
      </w:pPr>
      <w:r w:rsidRPr="00463E18">
        <w:rPr>
          <w:b/>
          <w:color w:val="31849B" w:themeColor="accent5" w:themeShade="BF"/>
          <w:sz w:val="22"/>
          <w:szCs w:val="22"/>
        </w:rPr>
        <w:t xml:space="preserve">Additional </w:t>
      </w:r>
      <w:r w:rsidR="00E90CFD" w:rsidRPr="00463E18">
        <w:rPr>
          <w:b/>
          <w:color w:val="31849B" w:themeColor="accent5" w:themeShade="BF"/>
          <w:sz w:val="22"/>
          <w:szCs w:val="22"/>
        </w:rPr>
        <w:t>Funding.</w:t>
      </w:r>
      <w:r w:rsidR="00E90CFD" w:rsidRPr="00463E18">
        <w:rPr>
          <w:bCs/>
          <w:color w:val="31849B" w:themeColor="accent5" w:themeShade="BF"/>
          <w:sz w:val="22"/>
          <w:szCs w:val="22"/>
        </w:rPr>
        <w:t xml:space="preserve"> </w:t>
      </w:r>
      <w:r w:rsidR="00E90CFD" w:rsidRPr="00463E18">
        <w:rPr>
          <w:bCs/>
          <w:color w:val="000000"/>
          <w:sz w:val="22"/>
          <w:szCs w:val="22"/>
        </w:rPr>
        <w:t xml:space="preserve">Some GSAs </w:t>
      </w:r>
      <w:r w:rsidRPr="00463E18">
        <w:rPr>
          <w:bCs/>
          <w:color w:val="000000"/>
          <w:sz w:val="22"/>
          <w:szCs w:val="22"/>
        </w:rPr>
        <w:t>are</w:t>
      </w:r>
      <w:r w:rsidR="00E90CFD" w:rsidRPr="00463E18">
        <w:rPr>
          <w:bCs/>
          <w:color w:val="000000"/>
          <w:sz w:val="22"/>
          <w:szCs w:val="22"/>
        </w:rPr>
        <w:t xml:space="preserve"> already </w:t>
      </w:r>
      <w:r w:rsidRPr="00463E18">
        <w:rPr>
          <w:bCs/>
          <w:color w:val="000000"/>
          <w:sz w:val="22"/>
          <w:szCs w:val="22"/>
        </w:rPr>
        <w:t xml:space="preserve">starting to begin </w:t>
      </w:r>
      <w:r w:rsidR="00E90CFD" w:rsidRPr="00463E18">
        <w:rPr>
          <w:bCs/>
          <w:color w:val="000000"/>
          <w:sz w:val="22"/>
          <w:szCs w:val="22"/>
        </w:rPr>
        <w:t xml:space="preserve">processes to set rates under the GSA’s fee authority. However, future funding at the federal, state and local level needs </w:t>
      </w:r>
      <w:r w:rsidR="00C235A4" w:rsidRPr="00463E18">
        <w:rPr>
          <w:bCs/>
          <w:color w:val="000000"/>
          <w:sz w:val="22"/>
          <w:szCs w:val="22"/>
        </w:rPr>
        <w:t xml:space="preserve">to become available to incentivize and increase </w:t>
      </w:r>
      <w:r w:rsidR="00E90CFD" w:rsidRPr="00463E18">
        <w:rPr>
          <w:bCs/>
          <w:color w:val="000000"/>
          <w:sz w:val="22"/>
          <w:szCs w:val="22"/>
        </w:rPr>
        <w:t xml:space="preserve">groundwater replenishment activities.   </w:t>
      </w:r>
    </w:p>
    <w:p w:rsidR="00E90CFD" w:rsidRDefault="00E90CFD" w:rsidP="00E90CFD">
      <w:pPr>
        <w:pBdr>
          <w:top w:val="nil"/>
          <w:left w:val="nil"/>
          <w:bottom w:val="nil"/>
          <w:right w:val="nil"/>
          <w:between w:val="nil"/>
        </w:pBdr>
        <w:spacing w:after="0" w:line="240" w:lineRule="auto"/>
        <w:rPr>
          <w:bCs/>
          <w:color w:val="000000"/>
        </w:rPr>
      </w:pPr>
    </w:p>
    <w:p w:rsidR="00E90CFD" w:rsidRDefault="00E90CFD">
      <w:pPr>
        <w:spacing w:after="0" w:line="240" w:lineRule="auto"/>
        <w:rPr>
          <w:b/>
          <w:color w:val="487B78"/>
          <w:sz w:val="40"/>
          <w:szCs w:val="40"/>
        </w:rPr>
      </w:pPr>
    </w:p>
    <w:p w:rsidR="007F09C3" w:rsidRDefault="00750B95">
      <w:pPr>
        <w:spacing w:after="0" w:line="240" w:lineRule="auto"/>
      </w:pPr>
      <w:r>
        <w:rPr>
          <w:b/>
          <w:color w:val="487B78"/>
          <w:sz w:val="40"/>
          <w:szCs w:val="40"/>
        </w:rPr>
        <w:t xml:space="preserve">Statement of Commitment </w:t>
      </w:r>
    </w:p>
    <w:p w:rsidR="007F09C3" w:rsidRPr="00E90CFD" w:rsidRDefault="00750B95" w:rsidP="00D67805">
      <w:pPr>
        <w:spacing w:after="0" w:line="276" w:lineRule="auto"/>
        <w:rPr>
          <w:sz w:val="22"/>
          <w:szCs w:val="22"/>
        </w:rPr>
      </w:pPr>
      <w:r w:rsidRPr="00E90CFD">
        <w:rPr>
          <w:sz w:val="22"/>
          <w:szCs w:val="22"/>
        </w:rPr>
        <w:t xml:space="preserve">ACWA and its member agencies have demonstrated a history of strong leadership in confronting and embracing needed changes to manage our groundwater resources in California. ACWA </w:t>
      </w:r>
      <w:r w:rsidR="00C235A4">
        <w:rPr>
          <w:sz w:val="22"/>
          <w:szCs w:val="22"/>
        </w:rPr>
        <w:t>continues to be</w:t>
      </w:r>
      <w:r w:rsidRPr="00E90CFD">
        <w:rPr>
          <w:sz w:val="22"/>
          <w:szCs w:val="22"/>
        </w:rPr>
        <w:t xml:space="preserve"> committed to working with the state and with urban and agricultural water users, growers and landowners, environmental and disadvantaged community interests, and other stakeholders on an effective approach to promote increased groundwater replenishment and achieve sustainable groundwater management throughout California.</w:t>
      </w:r>
    </w:p>
    <w:p w:rsidR="007F09C3" w:rsidRDefault="00750B95">
      <w:pPr>
        <w:spacing w:after="0" w:line="240" w:lineRule="auto"/>
      </w:pPr>
      <w:r>
        <w:br w:type="page"/>
      </w:r>
    </w:p>
    <w:p w:rsidR="007C2B99" w:rsidRDefault="00750B95" w:rsidP="007C2B99">
      <w:pPr>
        <w:pStyle w:val="Heading1"/>
        <w:spacing w:before="0" w:after="0"/>
      </w:pPr>
      <w:r>
        <w:lastRenderedPageBreak/>
        <w:t>ACWA</w:t>
      </w:r>
      <w:r w:rsidR="007C2B99">
        <w:t xml:space="preserve">’s </w:t>
      </w:r>
      <w:r>
        <w:t xml:space="preserve">Groundwater Replenishment Initiative </w:t>
      </w:r>
    </w:p>
    <w:p w:rsidR="007F09C3" w:rsidRDefault="00750B95" w:rsidP="007C2B99">
      <w:pPr>
        <w:pStyle w:val="Heading1"/>
        <w:spacing w:before="0" w:after="0"/>
      </w:pPr>
      <w:r>
        <w:t xml:space="preserve">Task Force </w:t>
      </w:r>
    </w:p>
    <w:p w:rsidR="007F09C3" w:rsidRPr="00D67805" w:rsidRDefault="00750B95" w:rsidP="00D67805">
      <w:pPr>
        <w:tabs>
          <w:tab w:val="left" w:pos="1800"/>
        </w:tabs>
        <w:spacing w:before="120" w:after="0" w:line="240" w:lineRule="auto"/>
        <w:rPr>
          <w:sz w:val="20"/>
          <w:szCs w:val="20"/>
        </w:rPr>
      </w:pPr>
      <w:r w:rsidRPr="00D67805">
        <w:rPr>
          <w:b/>
          <w:sz w:val="20"/>
          <w:szCs w:val="20"/>
        </w:rPr>
        <w:t>Chair:</w:t>
      </w:r>
      <w:r w:rsidRPr="00D67805">
        <w:rPr>
          <w:b/>
          <w:sz w:val="20"/>
          <w:szCs w:val="20"/>
        </w:rPr>
        <w:tab/>
      </w:r>
      <w:r w:rsidRPr="00D67805">
        <w:rPr>
          <w:b/>
          <w:sz w:val="20"/>
          <w:szCs w:val="20"/>
        </w:rPr>
        <w:tab/>
      </w:r>
      <w:r w:rsidRPr="00D67805">
        <w:rPr>
          <w:sz w:val="20"/>
          <w:szCs w:val="20"/>
        </w:rPr>
        <w:t>Eric Averett, General Manager, Rosedale Rio Bravo Water Storage District</w:t>
      </w:r>
    </w:p>
    <w:p w:rsidR="007F09C3" w:rsidRPr="00D67805" w:rsidRDefault="00750B95" w:rsidP="007C2B99">
      <w:pPr>
        <w:tabs>
          <w:tab w:val="left" w:pos="1800"/>
        </w:tabs>
        <w:spacing w:after="0" w:line="240" w:lineRule="auto"/>
        <w:rPr>
          <w:sz w:val="20"/>
          <w:szCs w:val="20"/>
        </w:rPr>
      </w:pPr>
      <w:r w:rsidRPr="00D67805">
        <w:rPr>
          <w:b/>
          <w:sz w:val="20"/>
          <w:szCs w:val="20"/>
        </w:rPr>
        <w:t>ACWA Staff Liaisons:</w:t>
      </w:r>
      <w:r w:rsidRPr="00D67805">
        <w:rPr>
          <w:b/>
          <w:sz w:val="20"/>
          <w:szCs w:val="20"/>
        </w:rPr>
        <w:tab/>
      </w:r>
      <w:r w:rsidR="00D67805">
        <w:rPr>
          <w:b/>
          <w:sz w:val="20"/>
          <w:szCs w:val="20"/>
        </w:rPr>
        <w:tab/>
      </w:r>
      <w:r w:rsidRPr="00D67805">
        <w:rPr>
          <w:sz w:val="20"/>
          <w:szCs w:val="20"/>
        </w:rPr>
        <w:t xml:space="preserve">Dave </w:t>
      </w:r>
      <w:proofErr w:type="spellStart"/>
      <w:r w:rsidRPr="00D67805">
        <w:rPr>
          <w:sz w:val="20"/>
          <w:szCs w:val="20"/>
        </w:rPr>
        <w:t>Bolland</w:t>
      </w:r>
      <w:proofErr w:type="spellEnd"/>
      <w:r w:rsidRPr="00D67805">
        <w:rPr>
          <w:sz w:val="20"/>
          <w:szCs w:val="20"/>
        </w:rPr>
        <w:t>, Director of State Regulatory Relations</w:t>
      </w:r>
    </w:p>
    <w:p w:rsidR="007F09C3" w:rsidRPr="00D67805" w:rsidRDefault="00750B95">
      <w:pPr>
        <w:tabs>
          <w:tab w:val="left" w:pos="1800"/>
        </w:tabs>
        <w:spacing w:after="0" w:line="240" w:lineRule="auto"/>
        <w:rPr>
          <w:b/>
          <w:sz w:val="20"/>
          <w:szCs w:val="20"/>
        </w:rPr>
      </w:pPr>
      <w:r w:rsidRPr="00D67805">
        <w:rPr>
          <w:sz w:val="20"/>
          <w:szCs w:val="20"/>
        </w:rPr>
        <w:tab/>
      </w:r>
      <w:r w:rsidRPr="00D67805">
        <w:rPr>
          <w:sz w:val="20"/>
          <w:szCs w:val="20"/>
        </w:rPr>
        <w:tab/>
        <w:t>Melissa Sparks-Kranz, Regulatory Advocate</w:t>
      </w:r>
    </w:p>
    <w:p w:rsidR="007F09C3" w:rsidRPr="00D67805" w:rsidRDefault="00750B95" w:rsidP="007C2B99">
      <w:pPr>
        <w:spacing w:after="0" w:line="240" w:lineRule="auto"/>
        <w:ind w:left="1440" w:hanging="1440"/>
        <w:rPr>
          <w:b/>
          <w:sz w:val="20"/>
          <w:szCs w:val="20"/>
        </w:rPr>
      </w:pPr>
      <w:r w:rsidRPr="00D67805">
        <w:rPr>
          <w:b/>
          <w:sz w:val="20"/>
          <w:szCs w:val="20"/>
        </w:rPr>
        <w:t xml:space="preserve">Task Force Members: </w:t>
      </w:r>
      <w:r w:rsidRPr="00D67805">
        <w:rPr>
          <w:b/>
          <w:sz w:val="20"/>
          <w:szCs w:val="20"/>
        </w:rPr>
        <w:tab/>
      </w:r>
      <w:r w:rsidRPr="00D67805">
        <w:rPr>
          <w:sz w:val="20"/>
          <w:szCs w:val="20"/>
        </w:rPr>
        <w:t xml:space="preserve">Brent </w:t>
      </w:r>
      <w:proofErr w:type="spellStart"/>
      <w:r w:rsidRPr="00D67805">
        <w:rPr>
          <w:sz w:val="20"/>
          <w:szCs w:val="20"/>
        </w:rPr>
        <w:t>Hastey</w:t>
      </w:r>
      <w:proofErr w:type="spellEnd"/>
      <w:r w:rsidRPr="00D67805">
        <w:rPr>
          <w:sz w:val="20"/>
          <w:szCs w:val="20"/>
        </w:rPr>
        <w:t xml:space="preserve">, ACWA President, Ex Officio Member </w:t>
      </w:r>
    </w:p>
    <w:p w:rsidR="007F09C3" w:rsidRPr="00D67805" w:rsidRDefault="007F09C3">
      <w:pPr>
        <w:spacing w:after="0" w:line="240" w:lineRule="auto"/>
        <w:ind w:left="1800" w:firstLine="360"/>
        <w:rPr>
          <w:sz w:val="20"/>
          <w:szCs w:val="20"/>
          <w:u w:val="single"/>
        </w:rPr>
        <w:sectPr w:rsidR="007F09C3" w:rsidRPr="00D67805" w:rsidSect="007C2B99">
          <w:type w:val="continuous"/>
          <w:pgSz w:w="12240" w:h="15840"/>
          <w:pgMar w:top="1440" w:right="1440" w:bottom="1440" w:left="1440" w:header="720" w:footer="720" w:gutter="0"/>
          <w:cols w:space="720"/>
        </w:sectPr>
      </w:pPr>
    </w:p>
    <w:p w:rsidR="007F09C3" w:rsidRPr="00D67805" w:rsidRDefault="00750B95" w:rsidP="00D67805">
      <w:pPr>
        <w:spacing w:before="120" w:after="0" w:line="240" w:lineRule="auto"/>
        <w:rPr>
          <w:sz w:val="20"/>
          <w:szCs w:val="20"/>
          <w:u w:val="single"/>
        </w:rPr>
      </w:pPr>
      <w:r w:rsidRPr="00D67805">
        <w:rPr>
          <w:sz w:val="20"/>
          <w:szCs w:val="20"/>
          <w:u w:val="single"/>
        </w:rPr>
        <w:t>San Joaquin Valley</w:t>
      </w:r>
    </w:p>
    <w:p w:rsidR="007C3C85" w:rsidRPr="00D67805" w:rsidRDefault="007C3C85" w:rsidP="007C3C85">
      <w:pPr>
        <w:spacing w:after="0" w:line="240" w:lineRule="auto"/>
        <w:rPr>
          <w:sz w:val="20"/>
          <w:szCs w:val="20"/>
        </w:rPr>
      </w:pPr>
      <w:r w:rsidRPr="00D67805">
        <w:rPr>
          <w:sz w:val="20"/>
          <w:szCs w:val="20"/>
        </w:rPr>
        <w:t xml:space="preserve">Chad </w:t>
      </w:r>
      <w:proofErr w:type="spellStart"/>
      <w:r w:rsidRPr="00D67805">
        <w:rPr>
          <w:sz w:val="20"/>
          <w:szCs w:val="20"/>
        </w:rPr>
        <w:t>Wegley</w:t>
      </w:r>
      <w:proofErr w:type="spellEnd"/>
      <w:r w:rsidRPr="00D67805">
        <w:rPr>
          <w:sz w:val="20"/>
          <w:szCs w:val="20"/>
        </w:rPr>
        <w:t>, General Manager of Alta Irrigation District</w:t>
      </w:r>
    </w:p>
    <w:p w:rsidR="007C3C85" w:rsidRPr="00D67805" w:rsidRDefault="007C3C85" w:rsidP="007C3C85">
      <w:pPr>
        <w:spacing w:after="0" w:line="240" w:lineRule="auto"/>
        <w:rPr>
          <w:sz w:val="20"/>
          <w:szCs w:val="20"/>
        </w:rPr>
      </w:pPr>
      <w:r w:rsidRPr="00D67805">
        <w:rPr>
          <w:sz w:val="20"/>
          <w:szCs w:val="20"/>
        </w:rPr>
        <w:t>Steven Collup, General Manager of Arvin Edison Water Storage District</w:t>
      </w:r>
    </w:p>
    <w:p w:rsidR="007C3C85" w:rsidRPr="00D67805" w:rsidRDefault="007C3C85" w:rsidP="007C3C85">
      <w:pPr>
        <w:spacing w:after="0" w:line="240" w:lineRule="auto"/>
        <w:rPr>
          <w:sz w:val="20"/>
          <w:szCs w:val="20"/>
        </w:rPr>
      </w:pPr>
      <w:r w:rsidRPr="00D67805">
        <w:rPr>
          <w:sz w:val="20"/>
          <w:szCs w:val="20"/>
        </w:rPr>
        <w:t>Jeevan Muhar, Engineer-Manager of Arvin Edison Water Storage District</w:t>
      </w:r>
    </w:p>
    <w:p w:rsidR="007C3C85" w:rsidRPr="00D67805" w:rsidRDefault="007C3C85" w:rsidP="007C3C85">
      <w:pPr>
        <w:spacing w:after="0" w:line="240" w:lineRule="auto"/>
        <w:rPr>
          <w:sz w:val="20"/>
          <w:szCs w:val="20"/>
        </w:rPr>
      </w:pPr>
      <w:r w:rsidRPr="00D67805">
        <w:rPr>
          <w:sz w:val="20"/>
          <w:szCs w:val="20"/>
        </w:rPr>
        <w:t>Chris White, General Manager of Central California Irrigation District</w:t>
      </w:r>
    </w:p>
    <w:p w:rsidR="007C3C85" w:rsidRPr="00D67805" w:rsidRDefault="007C3C85" w:rsidP="007C3C85">
      <w:pPr>
        <w:spacing w:after="0" w:line="240" w:lineRule="auto"/>
        <w:rPr>
          <w:sz w:val="20"/>
          <w:szCs w:val="20"/>
        </w:rPr>
      </w:pPr>
      <w:r w:rsidRPr="00D67805">
        <w:rPr>
          <w:sz w:val="20"/>
          <w:szCs w:val="20"/>
        </w:rPr>
        <w:t>Alan Hofmann, General Manager, Fresno Metropolitan Flood Control District</w:t>
      </w:r>
    </w:p>
    <w:p w:rsidR="007C3C85" w:rsidRPr="00D67805" w:rsidRDefault="007C3C85" w:rsidP="007C3C85">
      <w:pPr>
        <w:spacing w:after="0" w:line="240" w:lineRule="auto"/>
        <w:rPr>
          <w:sz w:val="20"/>
          <w:szCs w:val="20"/>
        </w:rPr>
      </w:pPr>
      <w:r w:rsidRPr="00D67805">
        <w:rPr>
          <w:sz w:val="20"/>
          <w:szCs w:val="20"/>
        </w:rPr>
        <w:t>Jason Phillips, General Manager, Friant Water Authority</w:t>
      </w:r>
    </w:p>
    <w:p w:rsidR="007C3C85" w:rsidRPr="00D67805" w:rsidRDefault="007C3C85" w:rsidP="007C3C85">
      <w:pPr>
        <w:spacing w:after="0" w:line="240" w:lineRule="auto"/>
        <w:rPr>
          <w:sz w:val="20"/>
          <w:szCs w:val="20"/>
        </w:rPr>
      </w:pPr>
      <w:r w:rsidRPr="00D67805">
        <w:rPr>
          <w:sz w:val="20"/>
          <w:szCs w:val="20"/>
        </w:rPr>
        <w:t>Palmer McCoy, Executive Assistant at Henry Miller Reclamation District #2131</w:t>
      </w:r>
    </w:p>
    <w:p w:rsidR="007F09C3" w:rsidRPr="00D67805" w:rsidRDefault="00750B95" w:rsidP="00D67805">
      <w:pPr>
        <w:spacing w:after="0" w:line="240" w:lineRule="auto"/>
        <w:rPr>
          <w:sz w:val="20"/>
          <w:szCs w:val="20"/>
        </w:rPr>
      </w:pPr>
      <w:r w:rsidRPr="00D67805">
        <w:rPr>
          <w:sz w:val="20"/>
          <w:szCs w:val="20"/>
        </w:rPr>
        <w:t>Curtis Creel, General Manager, Kern County Water Agency</w:t>
      </w:r>
    </w:p>
    <w:p w:rsidR="007C3C85" w:rsidRPr="00D67805" w:rsidRDefault="007C3C85" w:rsidP="007C3C85">
      <w:pPr>
        <w:spacing w:after="0" w:line="240" w:lineRule="auto"/>
        <w:rPr>
          <w:sz w:val="20"/>
          <w:szCs w:val="20"/>
        </w:rPr>
      </w:pPr>
      <w:r w:rsidRPr="00D67805">
        <w:rPr>
          <w:sz w:val="20"/>
          <w:szCs w:val="20"/>
        </w:rPr>
        <w:t>Jon Parker, General Manager, Kern Water Bank</w:t>
      </w:r>
    </w:p>
    <w:p w:rsidR="007C3C85" w:rsidRPr="00D67805" w:rsidRDefault="007C3C85" w:rsidP="007C3C85">
      <w:pPr>
        <w:spacing w:after="0" w:line="240" w:lineRule="auto"/>
        <w:rPr>
          <w:sz w:val="20"/>
          <w:szCs w:val="20"/>
        </w:rPr>
      </w:pPr>
      <w:r w:rsidRPr="00D67805">
        <w:rPr>
          <w:sz w:val="20"/>
          <w:szCs w:val="20"/>
        </w:rPr>
        <w:t xml:space="preserve">Paul </w:t>
      </w:r>
      <w:proofErr w:type="spellStart"/>
      <w:r w:rsidRPr="00D67805">
        <w:rPr>
          <w:sz w:val="20"/>
          <w:szCs w:val="20"/>
        </w:rPr>
        <w:t>Peschel</w:t>
      </w:r>
      <w:proofErr w:type="spellEnd"/>
      <w:r w:rsidRPr="00D67805">
        <w:rPr>
          <w:sz w:val="20"/>
          <w:szCs w:val="20"/>
        </w:rPr>
        <w:t>, General Manager, Kings River Conservation District</w:t>
      </w:r>
    </w:p>
    <w:p w:rsidR="007C3C85" w:rsidRPr="00D67805" w:rsidRDefault="007C3C85" w:rsidP="007C3C85">
      <w:pPr>
        <w:spacing w:after="0" w:line="240" w:lineRule="auto"/>
        <w:rPr>
          <w:sz w:val="20"/>
          <w:szCs w:val="20"/>
        </w:rPr>
      </w:pPr>
      <w:r w:rsidRPr="00D67805">
        <w:rPr>
          <w:sz w:val="20"/>
          <w:szCs w:val="20"/>
        </w:rPr>
        <w:t xml:space="preserve">Dan </w:t>
      </w:r>
      <w:proofErr w:type="spellStart"/>
      <w:r w:rsidRPr="00D67805">
        <w:rPr>
          <w:sz w:val="20"/>
          <w:szCs w:val="20"/>
        </w:rPr>
        <w:t>Vink</w:t>
      </w:r>
      <w:proofErr w:type="spellEnd"/>
      <w:r w:rsidRPr="00D67805">
        <w:rPr>
          <w:sz w:val="20"/>
          <w:szCs w:val="20"/>
        </w:rPr>
        <w:t>, General Manager of Lower Tule River Irrigation District</w:t>
      </w:r>
    </w:p>
    <w:p w:rsidR="007C3C85" w:rsidRPr="00D67805" w:rsidRDefault="007C3C85" w:rsidP="007C3C85">
      <w:pPr>
        <w:spacing w:after="0" w:line="240" w:lineRule="auto"/>
        <w:rPr>
          <w:sz w:val="20"/>
          <w:szCs w:val="20"/>
        </w:rPr>
      </w:pPr>
      <w:r w:rsidRPr="00D67805">
        <w:rPr>
          <w:sz w:val="20"/>
          <w:szCs w:val="20"/>
        </w:rPr>
        <w:t xml:space="preserve">Thomas </w:t>
      </w:r>
      <w:proofErr w:type="spellStart"/>
      <w:r w:rsidRPr="00D67805">
        <w:rPr>
          <w:sz w:val="20"/>
          <w:szCs w:val="20"/>
        </w:rPr>
        <w:t>Greci</w:t>
      </w:r>
      <w:proofErr w:type="spellEnd"/>
      <w:r w:rsidRPr="00D67805">
        <w:rPr>
          <w:sz w:val="20"/>
          <w:szCs w:val="20"/>
        </w:rPr>
        <w:t>, General Manager of Madera Irrigation District</w:t>
      </w:r>
    </w:p>
    <w:p w:rsidR="007C3C85" w:rsidRPr="00D67805" w:rsidRDefault="007C3C85" w:rsidP="007C3C85">
      <w:pPr>
        <w:spacing w:after="0" w:line="240" w:lineRule="auto"/>
        <w:rPr>
          <w:sz w:val="20"/>
          <w:szCs w:val="20"/>
        </w:rPr>
      </w:pPr>
      <w:r w:rsidRPr="00D67805">
        <w:rPr>
          <w:sz w:val="20"/>
          <w:szCs w:val="20"/>
        </w:rPr>
        <w:t xml:space="preserve">Matt Hurley, General Manager at </w:t>
      </w:r>
      <w:proofErr w:type="spellStart"/>
      <w:r w:rsidRPr="00D67805">
        <w:rPr>
          <w:sz w:val="20"/>
          <w:szCs w:val="20"/>
        </w:rPr>
        <w:t>McMullin</w:t>
      </w:r>
      <w:proofErr w:type="spellEnd"/>
      <w:r w:rsidRPr="00D67805">
        <w:rPr>
          <w:sz w:val="20"/>
          <w:szCs w:val="20"/>
        </w:rPr>
        <w:t xml:space="preserve"> Area Groundwater Sustainability Agency</w:t>
      </w:r>
    </w:p>
    <w:p w:rsidR="007C3C85" w:rsidRPr="00D67805" w:rsidRDefault="007C3C85" w:rsidP="007C3C85">
      <w:pPr>
        <w:spacing w:after="0" w:line="240" w:lineRule="auto"/>
        <w:rPr>
          <w:sz w:val="20"/>
          <w:szCs w:val="20"/>
        </w:rPr>
      </w:pPr>
      <w:r w:rsidRPr="00D67805">
        <w:rPr>
          <w:sz w:val="20"/>
          <w:szCs w:val="20"/>
        </w:rPr>
        <w:t xml:space="preserve">John </w:t>
      </w:r>
      <w:proofErr w:type="spellStart"/>
      <w:r w:rsidRPr="00D67805">
        <w:rPr>
          <w:sz w:val="20"/>
          <w:szCs w:val="20"/>
        </w:rPr>
        <w:t>Sweigard</w:t>
      </w:r>
      <w:proofErr w:type="spellEnd"/>
      <w:r w:rsidRPr="00D67805">
        <w:rPr>
          <w:sz w:val="20"/>
          <w:szCs w:val="20"/>
        </w:rPr>
        <w:t>, General Manager, Merced Irrigation District</w:t>
      </w:r>
    </w:p>
    <w:p w:rsidR="007F09C3" w:rsidRPr="00D67805" w:rsidRDefault="00750B95" w:rsidP="00D67805">
      <w:pPr>
        <w:spacing w:after="0" w:line="240" w:lineRule="auto"/>
        <w:rPr>
          <w:sz w:val="20"/>
          <w:szCs w:val="20"/>
        </w:rPr>
      </w:pPr>
      <w:r w:rsidRPr="00D67805">
        <w:rPr>
          <w:sz w:val="20"/>
          <w:szCs w:val="20"/>
        </w:rPr>
        <w:t>Paul Hendrix, Manager, Mid-Kaweah Groundwater Sustainability Agency</w:t>
      </w:r>
    </w:p>
    <w:p w:rsidR="007C3C85" w:rsidRPr="00D67805" w:rsidRDefault="007C3C85" w:rsidP="007C3C85">
      <w:pPr>
        <w:spacing w:after="0" w:line="240" w:lineRule="auto"/>
        <w:rPr>
          <w:sz w:val="20"/>
          <w:szCs w:val="20"/>
        </w:rPr>
      </w:pPr>
      <w:r w:rsidRPr="00D67805">
        <w:rPr>
          <w:sz w:val="20"/>
          <w:szCs w:val="20"/>
        </w:rPr>
        <w:t>Jake Wenger, Board Member, Modesto Irrigation District</w:t>
      </w:r>
    </w:p>
    <w:p w:rsidR="007C3C85" w:rsidRPr="00D67805" w:rsidRDefault="007C3C85" w:rsidP="007C3C85">
      <w:pPr>
        <w:spacing w:after="0" w:line="240" w:lineRule="auto"/>
        <w:rPr>
          <w:sz w:val="20"/>
          <w:szCs w:val="20"/>
        </w:rPr>
      </w:pPr>
      <w:r w:rsidRPr="00D67805">
        <w:rPr>
          <w:sz w:val="20"/>
          <w:szCs w:val="20"/>
        </w:rPr>
        <w:t xml:space="preserve">Scott </w:t>
      </w:r>
      <w:proofErr w:type="spellStart"/>
      <w:r w:rsidRPr="00D67805">
        <w:rPr>
          <w:sz w:val="20"/>
          <w:szCs w:val="20"/>
        </w:rPr>
        <w:t>Furgerson</w:t>
      </w:r>
      <w:proofErr w:type="spellEnd"/>
      <w:r w:rsidRPr="00D67805">
        <w:rPr>
          <w:sz w:val="20"/>
          <w:szCs w:val="20"/>
        </w:rPr>
        <w:t>, General Manager of Modesto Irrigation District</w:t>
      </w:r>
    </w:p>
    <w:p w:rsidR="007C3C85" w:rsidRPr="00D67805" w:rsidRDefault="007C3C85" w:rsidP="007C3C85">
      <w:pPr>
        <w:spacing w:after="0" w:line="240" w:lineRule="auto"/>
        <w:rPr>
          <w:sz w:val="20"/>
          <w:szCs w:val="20"/>
        </w:rPr>
      </w:pPr>
      <w:r w:rsidRPr="00D67805">
        <w:rPr>
          <w:sz w:val="20"/>
          <w:szCs w:val="20"/>
        </w:rPr>
        <w:t>John Davids, Assistant General Manager of Water Operations, Modesto Irrigation District</w:t>
      </w:r>
    </w:p>
    <w:p w:rsidR="007F09C3" w:rsidRPr="00D67805" w:rsidRDefault="00750B95" w:rsidP="00D67805">
      <w:pPr>
        <w:spacing w:after="0" w:line="240" w:lineRule="auto"/>
        <w:rPr>
          <w:sz w:val="20"/>
          <w:szCs w:val="20"/>
        </w:rPr>
      </w:pPr>
      <w:r w:rsidRPr="00D67805">
        <w:rPr>
          <w:sz w:val="20"/>
          <w:szCs w:val="20"/>
        </w:rPr>
        <w:t>Dave Orth, General Manager, North Friant Authority</w:t>
      </w:r>
    </w:p>
    <w:p w:rsidR="007C3C85" w:rsidRPr="00D67805" w:rsidRDefault="007C3C85" w:rsidP="007C3C85">
      <w:pPr>
        <w:spacing w:after="0" w:line="240" w:lineRule="auto"/>
        <w:rPr>
          <w:sz w:val="20"/>
          <w:szCs w:val="20"/>
        </w:rPr>
      </w:pPr>
      <w:r w:rsidRPr="00D67805">
        <w:rPr>
          <w:sz w:val="20"/>
          <w:szCs w:val="20"/>
        </w:rPr>
        <w:t>Richard Diamond, General Manager, North Kern Water Storage District</w:t>
      </w:r>
    </w:p>
    <w:p w:rsidR="007C3C85" w:rsidRPr="00D67805" w:rsidRDefault="007C3C85" w:rsidP="007C3C85">
      <w:pPr>
        <w:spacing w:after="0" w:line="240" w:lineRule="auto"/>
        <w:rPr>
          <w:sz w:val="20"/>
          <w:szCs w:val="20"/>
        </w:rPr>
      </w:pPr>
      <w:r w:rsidRPr="00D67805">
        <w:rPr>
          <w:sz w:val="20"/>
          <w:szCs w:val="20"/>
        </w:rPr>
        <w:t xml:space="preserve">Steve </w:t>
      </w:r>
      <w:proofErr w:type="spellStart"/>
      <w:r w:rsidRPr="00D67805">
        <w:rPr>
          <w:sz w:val="20"/>
          <w:szCs w:val="20"/>
        </w:rPr>
        <w:t>Chedister</w:t>
      </w:r>
      <w:proofErr w:type="spellEnd"/>
      <w:r w:rsidRPr="00D67805">
        <w:rPr>
          <w:sz w:val="20"/>
          <w:szCs w:val="20"/>
        </w:rPr>
        <w:t>, Executive Director of San Joaquin River Exchange Contractors</w:t>
      </w:r>
    </w:p>
    <w:p w:rsidR="007F09C3" w:rsidRPr="00D67805" w:rsidRDefault="00750B95" w:rsidP="00D67805">
      <w:pPr>
        <w:spacing w:after="0" w:line="240" w:lineRule="auto"/>
        <w:rPr>
          <w:sz w:val="20"/>
          <w:szCs w:val="20"/>
        </w:rPr>
      </w:pPr>
      <w:r w:rsidRPr="00D67805">
        <w:rPr>
          <w:sz w:val="20"/>
          <w:szCs w:val="20"/>
        </w:rPr>
        <w:t>Jason Peltier, General Manager, San Luis &amp; Delta-Mendota Water Authority</w:t>
      </w:r>
    </w:p>
    <w:p w:rsidR="007C3C85" w:rsidRPr="00D67805" w:rsidRDefault="007C3C85" w:rsidP="007C3C85">
      <w:pPr>
        <w:spacing w:after="0" w:line="240" w:lineRule="auto"/>
        <w:rPr>
          <w:sz w:val="20"/>
          <w:szCs w:val="20"/>
        </w:rPr>
      </w:pPr>
      <w:r w:rsidRPr="00D67805">
        <w:rPr>
          <w:sz w:val="20"/>
          <w:szCs w:val="20"/>
        </w:rPr>
        <w:t xml:space="preserve">Jason </w:t>
      </w:r>
      <w:proofErr w:type="spellStart"/>
      <w:r w:rsidRPr="00D67805">
        <w:rPr>
          <w:sz w:val="20"/>
          <w:szCs w:val="20"/>
        </w:rPr>
        <w:t>Gianquinto</w:t>
      </w:r>
      <w:proofErr w:type="spellEnd"/>
      <w:r w:rsidRPr="00D67805">
        <w:rPr>
          <w:sz w:val="20"/>
          <w:szCs w:val="20"/>
        </w:rPr>
        <w:t xml:space="preserve">, General Manager, </w:t>
      </w:r>
      <w:proofErr w:type="spellStart"/>
      <w:r w:rsidRPr="00D67805">
        <w:rPr>
          <w:sz w:val="20"/>
          <w:szCs w:val="20"/>
        </w:rPr>
        <w:t>Semitropic</w:t>
      </w:r>
      <w:proofErr w:type="spellEnd"/>
      <w:r w:rsidRPr="00D67805">
        <w:rPr>
          <w:sz w:val="20"/>
          <w:szCs w:val="20"/>
        </w:rPr>
        <w:t xml:space="preserve"> Water Storage District</w:t>
      </w:r>
    </w:p>
    <w:p w:rsidR="007C3C85" w:rsidRPr="00D67805" w:rsidRDefault="007C3C85" w:rsidP="007C3C85">
      <w:pPr>
        <w:spacing w:after="0" w:line="240" w:lineRule="auto"/>
        <w:rPr>
          <w:sz w:val="20"/>
          <w:szCs w:val="20"/>
        </w:rPr>
      </w:pPr>
      <w:r w:rsidRPr="00D67805">
        <w:rPr>
          <w:sz w:val="20"/>
          <w:szCs w:val="20"/>
        </w:rPr>
        <w:t>Tou Her, Assistant General Manager of Turlock Irrigation District</w:t>
      </w:r>
    </w:p>
    <w:p w:rsidR="007C3C85" w:rsidRPr="00D67805" w:rsidRDefault="007C3C85" w:rsidP="007C3C85">
      <w:pPr>
        <w:spacing w:after="0" w:line="240" w:lineRule="auto"/>
        <w:rPr>
          <w:sz w:val="20"/>
          <w:szCs w:val="20"/>
        </w:rPr>
      </w:pPr>
      <w:r w:rsidRPr="00D67805">
        <w:rPr>
          <w:sz w:val="20"/>
          <w:szCs w:val="20"/>
        </w:rPr>
        <w:t>Bill Taube, Consultant, Wheeler-Ridge-Maricopa Water Storage District</w:t>
      </w:r>
    </w:p>
    <w:p w:rsidR="007F09C3" w:rsidRPr="00D67805" w:rsidRDefault="00750B95" w:rsidP="00D67805">
      <w:pPr>
        <w:spacing w:after="0" w:line="240" w:lineRule="auto"/>
        <w:rPr>
          <w:sz w:val="20"/>
          <w:szCs w:val="20"/>
        </w:rPr>
      </w:pPr>
      <w:r w:rsidRPr="00D67805">
        <w:rPr>
          <w:sz w:val="20"/>
          <w:szCs w:val="20"/>
        </w:rPr>
        <w:t>Melissa Poole, Wonderful Company</w:t>
      </w:r>
    </w:p>
    <w:p w:rsidR="007F09C3" w:rsidRPr="00D67805" w:rsidRDefault="00750B95" w:rsidP="00D67805">
      <w:pPr>
        <w:spacing w:before="120" w:after="0" w:line="240" w:lineRule="auto"/>
        <w:rPr>
          <w:sz w:val="20"/>
          <w:szCs w:val="20"/>
          <w:u w:val="single"/>
        </w:rPr>
      </w:pPr>
      <w:r w:rsidRPr="00D67805">
        <w:rPr>
          <w:sz w:val="20"/>
          <w:szCs w:val="20"/>
          <w:u w:val="single"/>
        </w:rPr>
        <w:t>Sacramento Valley</w:t>
      </w:r>
    </w:p>
    <w:p w:rsidR="007F09C3" w:rsidRPr="00D67805" w:rsidRDefault="00750B95" w:rsidP="00D67805">
      <w:pPr>
        <w:spacing w:after="0" w:line="240" w:lineRule="auto"/>
        <w:rPr>
          <w:sz w:val="20"/>
          <w:szCs w:val="20"/>
        </w:rPr>
      </w:pPr>
      <w:r w:rsidRPr="00D67805">
        <w:rPr>
          <w:sz w:val="20"/>
          <w:szCs w:val="20"/>
        </w:rPr>
        <w:t xml:space="preserve">Thad </w:t>
      </w:r>
      <w:proofErr w:type="spellStart"/>
      <w:r w:rsidRPr="00D67805">
        <w:rPr>
          <w:sz w:val="20"/>
          <w:szCs w:val="20"/>
        </w:rPr>
        <w:t>Bettner</w:t>
      </w:r>
      <w:proofErr w:type="spellEnd"/>
      <w:r w:rsidRPr="00D67805">
        <w:rPr>
          <w:sz w:val="20"/>
          <w:szCs w:val="20"/>
        </w:rPr>
        <w:t>, General Manager, Glenn-Colusa Irrigation District</w:t>
      </w:r>
    </w:p>
    <w:p w:rsidR="007F09C3" w:rsidRPr="00D67805" w:rsidRDefault="00750B95" w:rsidP="00D67805">
      <w:pPr>
        <w:spacing w:after="0" w:line="240" w:lineRule="auto"/>
        <w:rPr>
          <w:sz w:val="20"/>
          <w:szCs w:val="20"/>
        </w:rPr>
      </w:pPr>
      <w:r w:rsidRPr="00D67805">
        <w:rPr>
          <w:sz w:val="20"/>
          <w:szCs w:val="20"/>
        </w:rPr>
        <w:t>David Guy, President, Northern California Water Association</w:t>
      </w:r>
    </w:p>
    <w:p w:rsidR="00AF1542" w:rsidRPr="00D67805" w:rsidRDefault="00AF1542" w:rsidP="00AF1542">
      <w:pPr>
        <w:spacing w:after="0" w:line="240" w:lineRule="auto"/>
        <w:rPr>
          <w:sz w:val="20"/>
          <w:szCs w:val="20"/>
        </w:rPr>
      </w:pPr>
      <w:r w:rsidRPr="00D67805">
        <w:rPr>
          <w:sz w:val="20"/>
          <w:szCs w:val="20"/>
        </w:rPr>
        <w:t>Lewis Bair, General Manager, Reclamation District 108</w:t>
      </w:r>
    </w:p>
    <w:p w:rsidR="007F09C3" w:rsidRPr="00D67805" w:rsidRDefault="00750B95" w:rsidP="00D67805">
      <w:pPr>
        <w:spacing w:after="0" w:line="240" w:lineRule="auto"/>
        <w:rPr>
          <w:sz w:val="20"/>
          <w:szCs w:val="20"/>
        </w:rPr>
      </w:pPr>
      <w:r w:rsidRPr="00D67805">
        <w:rPr>
          <w:sz w:val="20"/>
          <w:szCs w:val="20"/>
        </w:rPr>
        <w:t>John Woodling, General Manager, Executive Director, Sacramento Groundwater Authority</w:t>
      </w:r>
    </w:p>
    <w:p w:rsidR="007F09C3" w:rsidRDefault="00750B95" w:rsidP="00D67805">
      <w:pPr>
        <w:spacing w:after="0" w:line="240" w:lineRule="auto"/>
        <w:rPr>
          <w:sz w:val="20"/>
          <w:szCs w:val="20"/>
        </w:rPr>
      </w:pPr>
      <w:r w:rsidRPr="00D67805">
        <w:rPr>
          <w:sz w:val="20"/>
          <w:szCs w:val="20"/>
        </w:rPr>
        <w:t xml:space="preserve">Greg </w:t>
      </w:r>
      <w:proofErr w:type="spellStart"/>
      <w:r w:rsidRPr="00D67805">
        <w:rPr>
          <w:sz w:val="20"/>
          <w:szCs w:val="20"/>
        </w:rPr>
        <w:t>Zlotnick</w:t>
      </w:r>
      <w:proofErr w:type="spellEnd"/>
      <w:r w:rsidRPr="00D67805">
        <w:rPr>
          <w:sz w:val="20"/>
          <w:szCs w:val="20"/>
        </w:rPr>
        <w:t>, Water Resources Specialist, San Juan Water District</w:t>
      </w:r>
    </w:p>
    <w:p w:rsidR="00AF1542" w:rsidRPr="00D67805" w:rsidRDefault="00AF1542" w:rsidP="00AF1542">
      <w:pPr>
        <w:spacing w:after="0" w:line="240" w:lineRule="auto"/>
        <w:rPr>
          <w:sz w:val="20"/>
          <w:szCs w:val="20"/>
        </w:rPr>
      </w:pPr>
      <w:r w:rsidRPr="00D67805">
        <w:rPr>
          <w:sz w:val="20"/>
          <w:szCs w:val="20"/>
        </w:rPr>
        <w:t>Jim Watson, Executive Director, Sites Joint Power Authority</w:t>
      </w:r>
    </w:p>
    <w:p w:rsidR="007F09C3" w:rsidRPr="00D67805" w:rsidRDefault="00750B95" w:rsidP="00D67805">
      <w:pPr>
        <w:spacing w:before="120" w:after="0" w:line="240" w:lineRule="auto"/>
        <w:rPr>
          <w:sz w:val="20"/>
          <w:szCs w:val="20"/>
          <w:u w:val="single"/>
        </w:rPr>
      </w:pPr>
      <w:r w:rsidRPr="00D67805">
        <w:rPr>
          <w:sz w:val="20"/>
          <w:szCs w:val="20"/>
          <w:u w:val="single"/>
        </w:rPr>
        <w:t>Southern California</w:t>
      </w:r>
    </w:p>
    <w:p w:rsidR="00AF1542" w:rsidRPr="00D67805" w:rsidRDefault="00AF1542" w:rsidP="00AF1542">
      <w:pPr>
        <w:spacing w:after="0" w:line="240" w:lineRule="auto"/>
        <w:rPr>
          <w:sz w:val="20"/>
          <w:szCs w:val="20"/>
        </w:rPr>
      </w:pPr>
      <w:r w:rsidRPr="00D67805">
        <w:rPr>
          <w:sz w:val="20"/>
          <w:szCs w:val="20"/>
        </w:rPr>
        <w:t xml:space="preserve">Peter </w:t>
      </w:r>
      <w:proofErr w:type="spellStart"/>
      <w:r w:rsidRPr="00D67805">
        <w:rPr>
          <w:sz w:val="20"/>
          <w:szCs w:val="20"/>
        </w:rPr>
        <w:t>Kavounas</w:t>
      </w:r>
      <w:proofErr w:type="spellEnd"/>
      <w:r w:rsidRPr="00D67805">
        <w:rPr>
          <w:sz w:val="20"/>
          <w:szCs w:val="20"/>
        </w:rPr>
        <w:t xml:space="preserve">, General Manager, Chino Basin </w:t>
      </w:r>
      <w:proofErr w:type="spellStart"/>
      <w:r w:rsidRPr="00D67805">
        <w:rPr>
          <w:sz w:val="20"/>
          <w:szCs w:val="20"/>
        </w:rPr>
        <w:t>Watermaster</w:t>
      </w:r>
      <w:proofErr w:type="spellEnd"/>
    </w:p>
    <w:p w:rsidR="00AF1542" w:rsidRPr="00D67805" w:rsidRDefault="00AF1542" w:rsidP="00AF1542">
      <w:pPr>
        <w:spacing w:after="0" w:line="240" w:lineRule="auto"/>
        <w:rPr>
          <w:sz w:val="20"/>
          <w:szCs w:val="20"/>
        </w:rPr>
      </w:pPr>
      <w:r w:rsidRPr="00D67805">
        <w:rPr>
          <w:sz w:val="20"/>
          <w:szCs w:val="20"/>
        </w:rPr>
        <w:t>Jim Barrett, General Manager, Coachella Valley Water District</w:t>
      </w:r>
    </w:p>
    <w:p w:rsidR="00AF1542" w:rsidRPr="00D67805" w:rsidRDefault="00AF1542" w:rsidP="00AF1542">
      <w:pPr>
        <w:spacing w:after="0" w:line="240" w:lineRule="auto"/>
        <w:rPr>
          <w:sz w:val="20"/>
          <w:szCs w:val="20"/>
        </w:rPr>
      </w:pPr>
      <w:r w:rsidRPr="00D67805">
        <w:rPr>
          <w:sz w:val="20"/>
          <w:szCs w:val="20"/>
        </w:rPr>
        <w:t xml:space="preserve">David </w:t>
      </w:r>
      <w:proofErr w:type="spellStart"/>
      <w:r w:rsidRPr="00D67805">
        <w:rPr>
          <w:sz w:val="20"/>
          <w:szCs w:val="20"/>
        </w:rPr>
        <w:t>Pettijohn</w:t>
      </w:r>
      <w:proofErr w:type="spellEnd"/>
      <w:r w:rsidRPr="00D67805">
        <w:rPr>
          <w:sz w:val="20"/>
          <w:szCs w:val="20"/>
        </w:rPr>
        <w:t xml:space="preserve">, Manager Water Resources Development, </w:t>
      </w:r>
      <w:r>
        <w:rPr>
          <w:sz w:val="20"/>
          <w:szCs w:val="20"/>
        </w:rPr>
        <w:t xml:space="preserve">Los Angeles Department of Water and Power </w:t>
      </w:r>
    </w:p>
    <w:p w:rsidR="007F09C3" w:rsidRPr="00D67805" w:rsidRDefault="00750B95" w:rsidP="00D67805">
      <w:pPr>
        <w:spacing w:after="0" w:line="240" w:lineRule="auto"/>
        <w:rPr>
          <w:sz w:val="20"/>
          <w:szCs w:val="20"/>
        </w:rPr>
      </w:pPr>
      <w:r w:rsidRPr="00D67805">
        <w:rPr>
          <w:sz w:val="20"/>
          <w:szCs w:val="20"/>
        </w:rPr>
        <w:t>Roger Patterson, Assistant General Manager, Metropolitan Water District of Southern California</w:t>
      </w:r>
    </w:p>
    <w:p w:rsidR="00AF1542" w:rsidRPr="00D67805" w:rsidRDefault="00AF1542" w:rsidP="00AF1542">
      <w:pPr>
        <w:spacing w:after="0" w:line="240" w:lineRule="auto"/>
        <w:rPr>
          <w:sz w:val="20"/>
          <w:szCs w:val="20"/>
        </w:rPr>
      </w:pPr>
      <w:r w:rsidRPr="00D67805">
        <w:rPr>
          <w:sz w:val="20"/>
          <w:szCs w:val="20"/>
        </w:rPr>
        <w:t>Mike Markus, General Manager, Orange County Water District</w:t>
      </w:r>
    </w:p>
    <w:p w:rsidR="00AF1542" w:rsidRPr="00D67805" w:rsidRDefault="00AF1542" w:rsidP="00AF1542">
      <w:pPr>
        <w:spacing w:after="0" w:line="240" w:lineRule="auto"/>
        <w:rPr>
          <w:sz w:val="20"/>
          <w:szCs w:val="20"/>
        </w:rPr>
      </w:pPr>
      <w:r w:rsidRPr="00D67805">
        <w:rPr>
          <w:sz w:val="20"/>
          <w:szCs w:val="20"/>
        </w:rPr>
        <w:t>Shane Chapman, General Manager, Upper San Gabriel Valley Municipal Water District</w:t>
      </w:r>
    </w:p>
    <w:p w:rsidR="007F09C3" w:rsidRDefault="00750B95" w:rsidP="00D67805">
      <w:pPr>
        <w:spacing w:after="0" w:line="240" w:lineRule="auto"/>
        <w:rPr>
          <w:b/>
          <w:sz w:val="28"/>
          <w:szCs w:val="28"/>
          <w:u w:val="single"/>
        </w:rPr>
      </w:pPr>
      <w:r w:rsidRPr="00D67805">
        <w:rPr>
          <w:sz w:val="20"/>
          <w:szCs w:val="20"/>
        </w:rPr>
        <w:t>Robb Whitaker, General Manager, Water Replenishment District of Southern California</w:t>
      </w:r>
    </w:p>
    <w:sectPr w:rsidR="007F09C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B8E" w:rsidRDefault="00430B8E">
      <w:pPr>
        <w:spacing w:after="0" w:line="240" w:lineRule="auto"/>
      </w:pPr>
      <w:r>
        <w:separator/>
      </w:r>
    </w:p>
  </w:endnote>
  <w:endnote w:type="continuationSeparator" w:id="0">
    <w:p w:rsidR="00430B8E" w:rsidRDefault="00430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
      <w:tblW w:w="9360" w:type="dxa"/>
      <w:tblLayout w:type="fixed"/>
      <w:tblLook w:val="0400" w:firstRow="0" w:lastRow="0" w:firstColumn="0" w:lastColumn="0" w:noHBand="0" w:noVBand="1"/>
    </w:tblPr>
    <w:tblGrid>
      <w:gridCol w:w="7488"/>
      <w:gridCol w:w="1872"/>
    </w:tblGrid>
    <w:tr w:rsidR="00430B8E">
      <w:trPr>
        <w:trHeight w:val="720"/>
      </w:trPr>
      <w:tc>
        <w:tcPr>
          <w:tcW w:w="7488" w:type="dxa"/>
          <w:tcBorders>
            <w:right w:val="single" w:sz="4" w:space="0" w:color="1CADE4"/>
          </w:tcBorders>
        </w:tcPr>
        <w:p w:rsidR="00430B8E" w:rsidRDefault="00430B8E">
          <w:pPr>
            <w:tabs>
              <w:tab w:val="left" w:pos="620"/>
              <w:tab w:val="center" w:pos="4320"/>
            </w:tabs>
            <w:jc w:val="right"/>
            <w:rPr>
              <w:sz w:val="20"/>
              <w:szCs w:val="20"/>
            </w:rPr>
          </w:pPr>
        </w:p>
      </w:tc>
      <w:tc>
        <w:tcPr>
          <w:tcW w:w="1872" w:type="dxa"/>
          <w:tcBorders>
            <w:left w:val="single" w:sz="4" w:space="0" w:color="1CADE4"/>
          </w:tcBorders>
        </w:tcPr>
        <w:p w:rsidR="00430B8E" w:rsidRDefault="00430B8E">
          <w:pPr>
            <w:tabs>
              <w:tab w:val="left" w:pos="1490"/>
            </w:tabs>
            <w:rPr>
              <w:sz w:val="28"/>
              <w:szCs w:val="28"/>
            </w:rPr>
          </w:pPr>
          <w:r>
            <w:fldChar w:fldCharType="begin"/>
          </w:r>
          <w:r>
            <w:instrText>PAGE</w:instrText>
          </w:r>
          <w:r>
            <w:fldChar w:fldCharType="separate"/>
          </w:r>
          <w:r w:rsidR="006D632C">
            <w:rPr>
              <w:noProof/>
            </w:rPr>
            <w:t>19</w:t>
          </w:r>
          <w:r>
            <w:fldChar w:fldCharType="end"/>
          </w:r>
        </w:p>
      </w:tc>
    </w:tr>
  </w:tbl>
  <w:p w:rsidR="00430B8E" w:rsidRDefault="00430B8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B8E" w:rsidRDefault="00430B8E">
      <w:pPr>
        <w:spacing w:after="0" w:line="240" w:lineRule="auto"/>
      </w:pPr>
      <w:r>
        <w:separator/>
      </w:r>
    </w:p>
  </w:footnote>
  <w:footnote w:type="continuationSeparator" w:id="0">
    <w:p w:rsidR="00430B8E" w:rsidRDefault="00430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B8E" w:rsidRPr="008D1227" w:rsidRDefault="006D632C" w:rsidP="008D1227">
    <w:pPr>
      <w:pBdr>
        <w:top w:val="nil"/>
        <w:left w:val="nil"/>
        <w:bottom w:val="nil"/>
        <w:right w:val="nil"/>
        <w:between w:val="nil"/>
      </w:pBdr>
      <w:tabs>
        <w:tab w:val="center" w:pos="4680"/>
        <w:tab w:val="right" w:pos="9360"/>
      </w:tabs>
      <w:spacing w:after="0" w:line="240" w:lineRule="auto"/>
      <w:jc w:val="center"/>
      <w:rPr>
        <w:b/>
        <w:bCs/>
        <w:color w:val="000000"/>
      </w:rPr>
    </w:pPr>
    <w:sdt>
      <w:sdtPr>
        <w:rPr>
          <w:color w:val="000000"/>
        </w:rPr>
        <w:id w:val="-1792197359"/>
        <w:docPartObj>
          <w:docPartGallery w:val="Watermarks"/>
          <w:docPartUnique/>
        </w:docPartObj>
      </w:sdtPr>
      <w:sdtEndPr/>
      <w:sdtContent>
        <w:r>
          <w:rPr>
            <w:noProof/>
            <w:color w:val="000000"/>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30B8E" w:rsidRPr="008D1227">
      <w:rPr>
        <w:b/>
        <w:bCs/>
        <w:color w:val="000000"/>
      </w:rPr>
      <w:t>ASSOCIATION OF CALIFORNIA WATER AGENCIES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BD1"/>
    <w:multiLevelType w:val="multilevel"/>
    <w:tmpl w:val="C4625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3515F4"/>
    <w:multiLevelType w:val="multilevel"/>
    <w:tmpl w:val="D4F43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4C352D"/>
    <w:multiLevelType w:val="multilevel"/>
    <w:tmpl w:val="6F603DA6"/>
    <w:lvl w:ilvl="0">
      <w:start w:val="1"/>
      <w:numFmt w:val="bullet"/>
      <w:lvlText w:val=""/>
      <w:lvlJc w:val="left"/>
      <w:pPr>
        <w:tabs>
          <w:tab w:val="num" w:pos="720"/>
        </w:tabs>
        <w:ind w:left="720" w:hanging="360"/>
      </w:pPr>
      <w:rPr>
        <w:rFonts w:ascii="Symbol" w:hAnsi="Symbol" w:hint="default"/>
        <w:color w:val="31849B" w:themeColor="accent5" w:themeShade="B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664FED"/>
    <w:multiLevelType w:val="multilevel"/>
    <w:tmpl w:val="DFAEA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23065E"/>
    <w:multiLevelType w:val="multilevel"/>
    <w:tmpl w:val="F1A03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910CE6"/>
    <w:multiLevelType w:val="multilevel"/>
    <w:tmpl w:val="00809C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502C39"/>
    <w:multiLevelType w:val="multilevel"/>
    <w:tmpl w:val="5F50ED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5560A6"/>
    <w:multiLevelType w:val="multilevel"/>
    <w:tmpl w:val="02BAE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FB58FC"/>
    <w:multiLevelType w:val="multilevel"/>
    <w:tmpl w:val="06FEB39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FC6A50"/>
    <w:multiLevelType w:val="multilevel"/>
    <w:tmpl w:val="821E2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E95C25"/>
    <w:multiLevelType w:val="hybridMultilevel"/>
    <w:tmpl w:val="5FD2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B51088"/>
    <w:multiLevelType w:val="multilevel"/>
    <w:tmpl w:val="D17E6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141261"/>
    <w:multiLevelType w:val="multilevel"/>
    <w:tmpl w:val="9B42A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16E10DA"/>
    <w:multiLevelType w:val="multilevel"/>
    <w:tmpl w:val="5F50ED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80933DE"/>
    <w:multiLevelType w:val="multilevel"/>
    <w:tmpl w:val="2B98D7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5"/>
  </w:num>
  <w:num w:numId="2">
    <w:abstractNumId w:val="12"/>
  </w:num>
  <w:num w:numId="3">
    <w:abstractNumId w:val="14"/>
  </w:num>
  <w:num w:numId="4">
    <w:abstractNumId w:val="7"/>
  </w:num>
  <w:num w:numId="5">
    <w:abstractNumId w:val="8"/>
  </w:num>
  <w:num w:numId="6">
    <w:abstractNumId w:val="3"/>
  </w:num>
  <w:num w:numId="7">
    <w:abstractNumId w:val="0"/>
  </w:num>
  <w:num w:numId="8">
    <w:abstractNumId w:val="11"/>
  </w:num>
  <w:num w:numId="9">
    <w:abstractNumId w:val="4"/>
  </w:num>
  <w:num w:numId="10">
    <w:abstractNumId w:val="1"/>
  </w:num>
  <w:num w:numId="11">
    <w:abstractNumId w:val="13"/>
  </w:num>
  <w:num w:numId="12">
    <w:abstractNumId w:val="2"/>
  </w:num>
  <w:num w:numId="13">
    <w:abstractNumId w:val="6"/>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9C3"/>
    <w:rsid w:val="0000587D"/>
    <w:rsid w:val="00015DA5"/>
    <w:rsid w:val="00047E0D"/>
    <w:rsid w:val="0006745E"/>
    <w:rsid w:val="000A45A3"/>
    <w:rsid w:val="000C7F54"/>
    <w:rsid w:val="000E096B"/>
    <w:rsid w:val="000E5417"/>
    <w:rsid w:val="00103245"/>
    <w:rsid w:val="0012614C"/>
    <w:rsid w:val="001538D2"/>
    <w:rsid w:val="00186FF9"/>
    <w:rsid w:val="001D41D9"/>
    <w:rsid w:val="001D6B51"/>
    <w:rsid w:val="001D7BB0"/>
    <w:rsid w:val="00207343"/>
    <w:rsid w:val="00210BE0"/>
    <w:rsid w:val="0022359A"/>
    <w:rsid w:val="00230E9E"/>
    <w:rsid w:val="002456F9"/>
    <w:rsid w:val="002979FC"/>
    <w:rsid w:val="002B2541"/>
    <w:rsid w:val="0033601D"/>
    <w:rsid w:val="00340379"/>
    <w:rsid w:val="00340774"/>
    <w:rsid w:val="003861B7"/>
    <w:rsid w:val="0039593D"/>
    <w:rsid w:val="003C36E2"/>
    <w:rsid w:val="003C3903"/>
    <w:rsid w:val="0040027A"/>
    <w:rsid w:val="00413F84"/>
    <w:rsid w:val="004142A7"/>
    <w:rsid w:val="00430B8E"/>
    <w:rsid w:val="00457871"/>
    <w:rsid w:val="004634F1"/>
    <w:rsid w:val="00463E18"/>
    <w:rsid w:val="004D7BCD"/>
    <w:rsid w:val="005071C1"/>
    <w:rsid w:val="00522E9B"/>
    <w:rsid w:val="00545911"/>
    <w:rsid w:val="00550C0C"/>
    <w:rsid w:val="005A306C"/>
    <w:rsid w:val="005A3A34"/>
    <w:rsid w:val="005A5B2D"/>
    <w:rsid w:val="005E3731"/>
    <w:rsid w:val="005E411B"/>
    <w:rsid w:val="00624867"/>
    <w:rsid w:val="00636B92"/>
    <w:rsid w:val="00660204"/>
    <w:rsid w:val="006654B0"/>
    <w:rsid w:val="00684257"/>
    <w:rsid w:val="006D60F7"/>
    <w:rsid w:val="006D632C"/>
    <w:rsid w:val="006E26C0"/>
    <w:rsid w:val="006E681C"/>
    <w:rsid w:val="006F27CC"/>
    <w:rsid w:val="007124AD"/>
    <w:rsid w:val="00717F28"/>
    <w:rsid w:val="00725948"/>
    <w:rsid w:val="00741052"/>
    <w:rsid w:val="00750B95"/>
    <w:rsid w:val="00754A5E"/>
    <w:rsid w:val="00787039"/>
    <w:rsid w:val="0079514A"/>
    <w:rsid w:val="007A11A1"/>
    <w:rsid w:val="007A268C"/>
    <w:rsid w:val="007A3F49"/>
    <w:rsid w:val="007C002F"/>
    <w:rsid w:val="007C2B99"/>
    <w:rsid w:val="007C3C85"/>
    <w:rsid w:val="007D2C63"/>
    <w:rsid w:val="007D70FA"/>
    <w:rsid w:val="007D7BFA"/>
    <w:rsid w:val="007E6CF5"/>
    <w:rsid w:val="007F09C3"/>
    <w:rsid w:val="008119A4"/>
    <w:rsid w:val="00820EBA"/>
    <w:rsid w:val="00857AA0"/>
    <w:rsid w:val="00873453"/>
    <w:rsid w:val="00882B0E"/>
    <w:rsid w:val="008D1227"/>
    <w:rsid w:val="008F4D20"/>
    <w:rsid w:val="00934211"/>
    <w:rsid w:val="00950E16"/>
    <w:rsid w:val="009C6617"/>
    <w:rsid w:val="009C6B04"/>
    <w:rsid w:val="009D2102"/>
    <w:rsid w:val="00A0267D"/>
    <w:rsid w:val="00A22D83"/>
    <w:rsid w:val="00AC63EE"/>
    <w:rsid w:val="00AF1542"/>
    <w:rsid w:val="00B36054"/>
    <w:rsid w:val="00B41C4B"/>
    <w:rsid w:val="00B50B47"/>
    <w:rsid w:val="00B6314E"/>
    <w:rsid w:val="00B83328"/>
    <w:rsid w:val="00BE7243"/>
    <w:rsid w:val="00C046A7"/>
    <w:rsid w:val="00C235A4"/>
    <w:rsid w:val="00C42C85"/>
    <w:rsid w:val="00C562BC"/>
    <w:rsid w:val="00C805C3"/>
    <w:rsid w:val="00CF5E78"/>
    <w:rsid w:val="00D33C04"/>
    <w:rsid w:val="00D67805"/>
    <w:rsid w:val="00D919E4"/>
    <w:rsid w:val="00DC0106"/>
    <w:rsid w:val="00DE2BC7"/>
    <w:rsid w:val="00E536AB"/>
    <w:rsid w:val="00E90CFD"/>
    <w:rsid w:val="00EB0050"/>
    <w:rsid w:val="00EC37DD"/>
    <w:rsid w:val="00F9681C"/>
    <w:rsid w:val="00FD20DA"/>
    <w:rsid w:val="00FD34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6708A5"/>
  <w15:docId w15:val="{30226C45-EDE3-41C0-9AC7-BA6334773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1"/>
        <w:szCs w:val="21"/>
        <w:lang w:val="en-US" w:eastAsia="zh-CN"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40" w:line="240" w:lineRule="auto"/>
      <w:outlineLvl w:val="0"/>
    </w:pPr>
    <w:rPr>
      <w:b/>
      <w:color w:val="487B78"/>
      <w:sz w:val="40"/>
      <w:szCs w:val="40"/>
    </w:rPr>
  </w:style>
  <w:style w:type="paragraph" w:styleId="Heading2">
    <w:name w:val="heading 2"/>
    <w:basedOn w:val="Normal"/>
    <w:next w:val="Normal"/>
    <w:pPr>
      <w:keepNext/>
      <w:keepLines/>
      <w:spacing w:before="80" w:after="0" w:line="240" w:lineRule="auto"/>
      <w:outlineLvl w:val="1"/>
    </w:pPr>
    <w:rPr>
      <w:color w:val="487B78"/>
      <w:sz w:val="28"/>
      <w:szCs w:val="28"/>
    </w:rPr>
  </w:style>
  <w:style w:type="paragraph" w:styleId="Heading3">
    <w:name w:val="heading 3"/>
    <w:basedOn w:val="Normal"/>
    <w:next w:val="Normal"/>
    <w:pPr>
      <w:keepNext/>
      <w:keepLines/>
      <w:spacing w:before="80" w:after="0" w:line="240" w:lineRule="auto"/>
      <w:outlineLvl w:val="2"/>
    </w:pPr>
    <w:rPr>
      <w:color w:val="487B78"/>
      <w:sz w:val="24"/>
      <w:szCs w:val="24"/>
    </w:rPr>
  </w:style>
  <w:style w:type="paragraph" w:styleId="Heading4">
    <w:name w:val="heading 4"/>
    <w:basedOn w:val="Normal"/>
    <w:next w:val="Normal"/>
    <w:pPr>
      <w:keepNext/>
      <w:keepLines/>
      <w:spacing w:before="80" w:after="0"/>
      <w:outlineLvl w:val="3"/>
    </w:pPr>
    <w:rPr>
      <w:color w:val="62A39F"/>
      <w:sz w:val="22"/>
      <w:szCs w:val="22"/>
    </w:rPr>
  </w:style>
  <w:style w:type="paragraph" w:styleId="Heading5">
    <w:name w:val="heading 5"/>
    <w:basedOn w:val="Normal"/>
    <w:next w:val="Normal"/>
    <w:pPr>
      <w:keepNext/>
      <w:keepLines/>
      <w:spacing w:before="40" w:after="0"/>
      <w:outlineLvl w:val="4"/>
    </w:pPr>
    <w:rPr>
      <w:i/>
      <w:color w:val="62A39F"/>
      <w:sz w:val="22"/>
      <w:szCs w:val="22"/>
    </w:rPr>
  </w:style>
  <w:style w:type="paragraph" w:styleId="Heading6">
    <w:name w:val="heading 6"/>
    <w:basedOn w:val="Normal"/>
    <w:next w:val="Normal"/>
    <w:pPr>
      <w:keepNext/>
      <w:keepLines/>
      <w:spacing w:before="40" w:after="0"/>
      <w:outlineLvl w:val="5"/>
    </w:pPr>
    <w:rPr>
      <w:color w:val="62A39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pPr>
    <w:rPr>
      <w:color w:val="262626"/>
      <w:sz w:val="96"/>
      <w:szCs w:val="96"/>
    </w:rPr>
  </w:style>
  <w:style w:type="paragraph" w:styleId="Subtitle">
    <w:name w:val="Subtitle"/>
    <w:basedOn w:val="Normal"/>
    <w:next w:val="Normal"/>
    <w:pPr>
      <w:spacing w:line="240" w:lineRule="auto"/>
    </w:pPr>
    <w:rPr>
      <w:sz w:val="30"/>
      <w:szCs w:val="30"/>
    </w:rPr>
  </w:style>
  <w:style w:type="table" w:customStyle="1" w:styleId="a">
    <w:basedOn w:val="TableNormal"/>
    <w:tblPr>
      <w:tblStyleRowBandSize w:val="1"/>
      <w:tblStyleColBandSize w:val="1"/>
      <w:tblCellMar>
        <w:left w:w="115" w:type="dxa"/>
        <w:right w:w="115" w:type="dxa"/>
      </w:tblCellMar>
    </w:tblPr>
  </w:style>
  <w:style w:type="paragraph" w:customStyle="1" w:styleId="speakable-p-1">
    <w:name w:val="speakable-p-1"/>
    <w:basedOn w:val="Normal"/>
    <w:rsid w:val="004142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akable-p-2">
    <w:name w:val="speakable-p-2"/>
    <w:basedOn w:val="Normal"/>
    <w:rsid w:val="004142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ext">
    <w:name w:val="p-text"/>
    <w:basedOn w:val="Normal"/>
    <w:rsid w:val="004142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36054"/>
    <w:rPr>
      <w:color w:val="0000FF"/>
      <w:u w:val="single"/>
    </w:rPr>
  </w:style>
  <w:style w:type="paragraph" w:styleId="BalloonText">
    <w:name w:val="Balloon Text"/>
    <w:basedOn w:val="Normal"/>
    <w:link w:val="BalloonTextChar"/>
    <w:uiPriority w:val="99"/>
    <w:semiHidden/>
    <w:unhideWhenUsed/>
    <w:rsid w:val="002073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343"/>
    <w:rPr>
      <w:rFonts w:ascii="Segoe UI" w:hAnsi="Segoe UI" w:cs="Segoe UI"/>
      <w:sz w:val="18"/>
      <w:szCs w:val="18"/>
    </w:rPr>
  </w:style>
  <w:style w:type="paragraph" w:styleId="NormalWeb">
    <w:name w:val="Normal (Web)"/>
    <w:basedOn w:val="Normal"/>
    <w:uiPriority w:val="99"/>
    <w:semiHidden/>
    <w:unhideWhenUsed/>
    <w:rsid w:val="00882B0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E6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CF5"/>
  </w:style>
  <w:style w:type="paragraph" w:styleId="Footer">
    <w:name w:val="footer"/>
    <w:basedOn w:val="Normal"/>
    <w:link w:val="FooterChar"/>
    <w:uiPriority w:val="99"/>
    <w:unhideWhenUsed/>
    <w:rsid w:val="007E6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CF5"/>
  </w:style>
  <w:style w:type="table" w:styleId="TableGrid">
    <w:name w:val="Table Grid"/>
    <w:basedOn w:val="TableNormal"/>
    <w:uiPriority w:val="39"/>
    <w:rsid w:val="000C7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8D2"/>
    <w:pPr>
      <w:ind w:left="720"/>
      <w:contextualSpacing/>
    </w:pPr>
  </w:style>
  <w:style w:type="character" w:styleId="FollowedHyperlink">
    <w:name w:val="FollowedHyperlink"/>
    <w:basedOn w:val="DefaultParagraphFont"/>
    <w:uiPriority w:val="99"/>
    <w:semiHidden/>
    <w:unhideWhenUsed/>
    <w:rsid w:val="004634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830162">
      <w:bodyDiv w:val="1"/>
      <w:marLeft w:val="0"/>
      <w:marRight w:val="0"/>
      <w:marTop w:val="0"/>
      <w:marBottom w:val="0"/>
      <w:divBdr>
        <w:top w:val="none" w:sz="0" w:space="0" w:color="auto"/>
        <w:left w:val="none" w:sz="0" w:space="0" w:color="auto"/>
        <w:bottom w:val="none" w:sz="0" w:space="0" w:color="auto"/>
        <w:right w:val="none" w:sz="0" w:space="0" w:color="auto"/>
      </w:divBdr>
    </w:div>
    <w:div w:id="388964799">
      <w:bodyDiv w:val="1"/>
      <w:marLeft w:val="0"/>
      <w:marRight w:val="0"/>
      <w:marTop w:val="0"/>
      <w:marBottom w:val="0"/>
      <w:divBdr>
        <w:top w:val="none" w:sz="0" w:space="0" w:color="auto"/>
        <w:left w:val="none" w:sz="0" w:space="0" w:color="auto"/>
        <w:bottom w:val="none" w:sz="0" w:space="0" w:color="auto"/>
        <w:right w:val="none" w:sz="0" w:space="0" w:color="auto"/>
      </w:divBdr>
    </w:div>
    <w:div w:id="417098428">
      <w:bodyDiv w:val="1"/>
      <w:marLeft w:val="0"/>
      <w:marRight w:val="0"/>
      <w:marTop w:val="0"/>
      <w:marBottom w:val="0"/>
      <w:divBdr>
        <w:top w:val="none" w:sz="0" w:space="0" w:color="auto"/>
        <w:left w:val="none" w:sz="0" w:space="0" w:color="auto"/>
        <w:bottom w:val="none" w:sz="0" w:space="0" w:color="auto"/>
        <w:right w:val="none" w:sz="0" w:space="0" w:color="auto"/>
      </w:divBdr>
    </w:div>
    <w:div w:id="498270990">
      <w:bodyDiv w:val="1"/>
      <w:marLeft w:val="0"/>
      <w:marRight w:val="0"/>
      <w:marTop w:val="0"/>
      <w:marBottom w:val="0"/>
      <w:divBdr>
        <w:top w:val="none" w:sz="0" w:space="0" w:color="auto"/>
        <w:left w:val="none" w:sz="0" w:space="0" w:color="auto"/>
        <w:bottom w:val="none" w:sz="0" w:space="0" w:color="auto"/>
        <w:right w:val="none" w:sz="0" w:space="0" w:color="auto"/>
      </w:divBdr>
      <w:divsChild>
        <w:div w:id="864706584">
          <w:marLeft w:val="0"/>
          <w:marRight w:val="0"/>
          <w:marTop w:val="0"/>
          <w:marBottom w:val="0"/>
          <w:divBdr>
            <w:top w:val="none" w:sz="0" w:space="0" w:color="auto"/>
            <w:left w:val="none" w:sz="0" w:space="0" w:color="auto"/>
            <w:bottom w:val="none" w:sz="0" w:space="0" w:color="auto"/>
            <w:right w:val="none" w:sz="0" w:space="0" w:color="auto"/>
          </w:divBdr>
          <w:divsChild>
            <w:div w:id="690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37374">
      <w:bodyDiv w:val="1"/>
      <w:marLeft w:val="0"/>
      <w:marRight w:val="0"/>
      <w:marTop w:val="0"/>
      <w:marBottom w:val="0"/>
      <w:divBdr>
        <w:top w:val="none" w:sz="0" w:space="0" w:color="auto"/>
        <w:left w:val="none" w:sz="0" w:space="0" w:color="auto"/>
        <w:bottom w:val="none" w:sz="0" w:space="0" w:color="auto"/>
        <w:right w:val="none" w:sz="0" w:space="0" w:color="auto"/>
      </w:divBdr>
    </w:div>
    <w:div w:id="778522692">
      <w:bodyDiv w:val="1"/>
      <w:marLeft w:val="0"/>
      <w:marRight w:val="0"/>
      <w:marTop w:val="0"/>
      <w:marBottom w:val="0"/>
      <w:divBdr>
        <w:top w:val="none" w:sz="0" w:space="0" w:color="auto"/>
        <w:left w:val="none" w:sz="0" w:space="0" w:color="auto"/>
        <w:bottom w:val="none" w:sz="0" w:space="0" w:color="auto"/>
        <w:right w:val="none" w:sz="0" w:space="0" w:color="auto"/>
      </w:divBdr>
    </w:div>
    <w:div w:id="998192203">
      <w:bodyDiv w:val="1"/>
      <w:marLeft w:val="0"/>
      <w:marRight w:val="0"/>
      <w:marTop w:val="0"/>
      <w:marBottom w:val="0"/>
      <w:divBdr>
        <w:top w:val="none" w:sz="0" w:space="0" w:color="auto"/>
        <w:left w:val="none" w:sz="0" w:space="0" w:color="auto"/>
        <w:bottom w:val="none" w:sz="0" w:space="0" w:color="auto"/>
        <w:right w:val="none" w:sz="0" w:space="0" w:color="auto"/>
      </w:divBdr>
    </w:div>
    <w:div w:id="1360164544">
      <w:bodyDiv w:val="1"/>
      <w:marLeft w:val="0"/>
      <w:marRight w:val="0"/>
      <w:marTop w:val="0"/>
      <w:marBottom w:val="0"/>
      <w:divBdr>
        <w:top w:val="none" w:sz="0" w:space="0" w:color="auto"/>
        <w:left w:val="none" w:sz="0" w:space="0" w:color="auto"/>
        <w:bottom w:val="none" w:sz="0" w:space="0" w:color="auto"/>
        <w:right w:val="none" w:sz="0" w:space="0" w:color="auto"/>
      </w:divBdr>
    </w:div>
    <w:div w:id="1411809252">
      <w:bodyDiv w:val="1"/>
      <w:marLeft w:val="0"/>
      <w:marRight w:val="0"/>
      <w:marTop w:val="0"/>
      <w:marBottom w:val="0"/>
      <w:divBdr>
        <w:top w:val="none" w:sz="0" w:space="0" w:color="auto"/>
        <w:left w:val="none" w:sz="0" w:space="0" w:color="auto"/>
        <w:bottom w:val="none" w:sz="0" w:space="0" w:color="auto"/>
        <w:right w:val="none" w:sz="0" w:space="0" w:color="auto"/>
      </w:divBdr>
    </w:div>
    <w:div w:id="1735812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leginfo.legislature.ca.gov/faces/codes_displayexpandedbranch.xhtml?tocCode=WAT&amp;division=6.&amp;title=&amp;part=2.74.&amp;chapter=&amp;article" TargetMode="External"/><Relationship Id="rId18" Type="http://schemas.openxmlformats.org/officeDocument/2006/relationships/hyperlink" Target="http://leginfo.legislature.ca.gov/faces/billNavClient.xhtml?bill_id=201320140SB1319" TargetMode="External"/><Relationship Id="rId26" Type="http://schemas.openxmlformats.org/officeDocument/2006/relationships/hyperlink" Target="https://www.acwa.com/wp-content/uploads/2017/03/ACWA-Recommendation-for-Groundwater-Sustainability.pdf" TargetMode="External"/><Relationship Id="rId39" Type="http://schemas.openxmlformats.org/officeDocument/2006/relationships/hyperlink" Target="https://www.ca.gov/archive/gov39/wp-content/uploads/2017/09/4.6.17_Attested_Oroville_Repair_Exec_Order.pdf" TargetMode="External"/><Relationship Id="rId21" Type="http://schemas.openxmlformats.org/officeDocument/2006/relationships/hyperlink" Target="https://water.ca.gov/Programs/Groundwater-Management/SGMA-Groundwater-Management/Groundwater-Sustainability-Plans" TargetMode="External"/><Relationship Id="rId34" Type="http://schemas.openxmlformats.org/officeDocument/2006/relationships/hyperlink" Target="https://www.ppic.org/publication/managing-drought-in-a-changing-climate-four-essential-reforms/" TargetMode="External"/><Relationship Id="rId42" Type="http://schemas.openxmlformats.org/officeDocument/2006/relationships/hyperlink" Target="https://www.ca.gov/archive/gov39/wp-content/uploads/2017/08/11.13.15_EO_B-36-15.pdf" TargetMode="External"/><Relationship Id="rId47" Type="http://schemas.openxmlformats.org/officeDocument/2006/relationships/hyperlink" Target="https://www.waterboards.ca.gov/waterrights/water_issues/programs/applications/docs/purposes_of_use_fact_sheet_final.pdf" TargetMode="External"/><Relationship Id="rId50" Type="http://schemas.openxmlformats.org/officeDocument/2006/relationships/hyperlink" Target="https://water.ca.gov/-/media/DWR-Website/Web-Pages/Programs/All-Programs/Flood-MAR/DWR_FloodMAR-White-Paper_06_2018_updated.pdf?la=en&amp;hash=350DBD68452230C5CF1706C3E8EB1E3E3E613C25" TargetMode="External"/><Relationship Id="rId55" Type="http://schemas.openxmlformats.org/officeDocument/2006/relationships/hyperlink" Target="https://suscon.org/wp-content/uploads/2016/08/GRAT-Summary-8-2017.pdf" TargetMode="External"/><Relationship Id="rId63" Type="http://schemas.openxmlformats.org/officeDocument/2006/relationships/hyperlink" Target="https://www.ppic.org/wp-content/uploads/jtf-water-market.pdf" TargetMode="External"/><Relationship Id="rId68" Type="http://schemas.openxmlformats.org/officeDocument/2006/relationships/hyperlink" Target="http://ucwater.org/" TargetMode="External"/><Relationship Id="rId76"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hyperlink" Target="http://ucwater.org/" TargetMode="External"/><Relationship Id="rId2" Type="http://schemas.openxmlformats.org/officeDocument/2006/relationships/numbering" Target="numbering.xml"/><Relationship Id="rId16" Type="http://schemas.openxmlformats.org/officeDocument/2006/relationships/hyperlink" Target="http://leginfo.legislature.ca.gov/faces/billNavClient.xhtml?bill_id=201320140AB1739" TargetMode="External"/><Relationship Id="rId29" Type="http://schemas.openxmlformats.org/officeDocument/2006/relationships/hyperlink" Target="https://water.ca.gov/Programs/Groundwater-Management/Basin-Prioritization" TargetMode="External"/><Relationship Id="rId11" Type="http://schemas.openxmlformats.org/officeDocument/2006/relationships/hyperlink" Target="http://leginfo.legislature.ca.gov/faces/billNavClient.xhtml?bill_id=201320140SB1168" TargetMode="External"/><Relationship Id="rId24" Type="http://schemas.openxmlformats.org/officeDocument/2006/relationships/hyperlink" Target="https://www.acwa.com/wp-content/uploads/2017/03/ACWA-Recommendation-for-Groundwater-Sustainability.pdf" TargetMode="External"/><Relationship Id="rId32" Type="http://schemas.openxmlformats.org/officeDocument/2006/relationships/image" Target="media/image3.png"/><Relationship Id="rId37" Type="http://schemas.openxmlformats.org/officeDocument/2006/relationships/hyperlink" Target="https://www.ppic.org/publication/managing-drought-in-a-changing-climate-four-essential-reforms/" TargetMode="External"/><Relationship Id="rId40" Type="http://schemas.openxmlformats.org/officeDocument/2006/relationships/hyperlink" Target="https://www.ca.gov/archive/gov39/wp-content/uploads/2017/08/11.13.15_EO_B-36-15.pdf" TargetMode="External"/><Relationship Id="rId45" Type="http://schemas.openxmlformats.org/officeDocument/2006/relationships/hyperlink" Target="https://www.waterboards.ca.gov/waterrights/water_issues/programs/applications/docs/purposes_of_use_fact_sheet_final.pdf" TargetMode="External"/><Relationship Id="rId53" Type="http://schemas.openxmlformats.org/officeDocument/2006/relationships/hyperlink" Target="https://water.ca.gov/Programs/All-Programs/Flood-MAR" TargetMode="External"/><Relationship Id="rId58" Type="http://schemas.openxmlformats.org/officeDocument/2006/relationships/hyperlink" Target="http://www.camigratorybirds.org" TargetMode="External"/><Relationship Id="rId66" Type="http://schemas.openxmlformats.org/officeDocument/2006/relationships/hyperlink" Target="https://stacks.stanford.edu/file/druid:dw122nb4780/A%20Guide%20to%20Water%20Quality%20Requirements%20under%20SGMA.pdf" TargetMode="External"/><Relationship Id="rId74" Type="http://schemas.openxmlformats.org/officeDocument/2006/relationships/image" Target="media/image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groundwaterresourcehub.org/groundwater-markets/" TargetMode="External"/><Relationship Id="rId10" Type="http://schemas.openxmlformats.org/officeDocument/2006/relationships/hyperlink" Target="http://leginfo.legislature.ca.gov/faces/billNavClient.xhtml?bill_id=201320140AB1739" TargetMode="External"/><Relationship Id="rId19" Type="http://schemas.openxmlformats.org/officeDocument/2006/relationships/hyperlink" Target="http://leginfo.legislature.ca.gov/faces/codes_displayexpandedbranch.xhtml?tocCode=WAT&amp;division=6.&amp;title=&amp;part=2.74.&amp;chapter=&amp;article" TargetMode="External"/><Relationship Id="rId31" Type="http://schemas.openxmlformats.org/officeDocument/2006/relationships/hyperlink" Target="https://water.ca.gov/Programs/Groundwater-Management/Basin-Prioritization" TargetMode="External"/><Relationship Id="rId44" Type="http://schemas.openxmlformats.org/officeDocument/2006/relationships/image" Target="media/image4.png"/><Relationship Id="rId52" Type="http://schemas.openxmlformats.org/officeDocument/2006/relationships/hyperlink" Target="https://water.ca.gov/-/media/DWR-Website/Web-Pages/Programs/All-Programs/Flood-MAR/DWR_FloodMAR-White-Paper_06_2018_updated.pdf?la=en&amp;hash=350DBD68452230C5CF1706C3E8EB1E3E3E613C25" TargetMode="External"/><Relationship Id="rId60" Type="http://schemas.openxmlformats.org/officeDocument/2006/relationships/hyperlink" Target="http://www.camigratorybirds.org" TargetMode="External"/><Relationship Id="rId65" Type="http://schemas.openxmlformats.org/officeDocument/2006/relationships/hyperlink" Target="https://gde.codefornature.org/" TargetMode="External"/><Relationship Id="rId73" Type="http://schemas.openxmlformats.org/officeDocument/2006/relationships/image" Target="media/image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ater.ca.gov/Programs/Groundwater-Management/SGMA-Groundwater-Management/Groundwater-Sustainable-Agencies" TargetMode="External"/><Relationship Id="rId22" Type="http://schemas.openxmlformats.org/officeDocument/2006/relationships/hyperlink" Target="https://www.acwa.com/wp-content/uploads/2017/03/groundwatermanage_policy_3.pdf" TargetMode="External"/><Relationship Id="rId27" Type="http://schemas.openxmlformats.org/officeDocument/2006/relationships/image" Target="media/image2.PNG"/><Relationship Id="rId30" Type="http://schemas.openxmlformats.org/officeDocument/2006/relationships/hyperlink" Target="https://leginfo.legislature.ca.gov/faces/codes_displaySection.xhtml?sectionNum=10933.&amp;lawCode=WAT" TargetMode="External"/><Relationship Id="rId35" Type="http://schemas.openxmlformats.org/officeDocument/2006/relationships/hyperlink" Target="https://www.ppic.org/publication/replenishing-groundwater-in-the-san-joaquin-valley/" TargetMode="External"/><Relationship Id="rId43" Type="http://schemas.openxmlformats.org/officeDocument/2006/relationships/hyperlink" Target="https://www.waterboards.ca.gov/waterrights/water_issues/programs/applications/groundwater_recharge/" TargetMode="External"/><Relationship Id="rId48" Type="http://schemas.openxmlformats.org/officeDocument/2006/relationships/hyperlink" Target="https://www.waterboards.ca.gov/publications_forms/publications/factsheets/docs/flood_control_factsheet.pdf" TargetMode="External"/><Relationship Id="rId56" Type="http://schemas.openxmlformats.org/officeDocument/2006/relationships/hyperlink" Target="https://suscon.org/wp-content/uploads/2016/08/GRAT-User-Instructions-and-Modeling-Documentation-8-2017.pdf" TargetMode="External"/><Relationship Id="rId64" Type="http://schemas.openxmlformats.org/officeDocument/2006/relationships/hyperlink" Target="https://groundwaterresourcehub.org/gde-tools/environmental-surface-water-beneficiaries/" TargetMode="External"/><Relationship Id="rId69" Type="http://schemas.openxmlformats.org/officeDocument/2006/relationships/hyperlink" Target="https://ucmerced.app.box.com/v/rechargeroundtable" TargetMode="External"/><Relationship Id="rId77" Type="http://schemas.openxmlformats.org/officeDocument/2006/relationships/image" Target="media/image9.png"/><Relationship Id="rId8" Type="http://schemas.openxmlformats.org/officeDocument/2006/relationships/header" Target="header1.xml"/><Relationship Id="rId51" Type="http://schemas.openxmlformats.org/officeDocument/2006/relationships/hyperlink" Target="https://water.ca.gov/Programs/All-Programs/Flood-MAR" TargetMode="External"/><Relationship Id="rId72" Type="http://schemas.openxmlformats.org/officeDocument/2006/relationships/hyperlink" Target="https://ucmerced.app.box.com/v/rechargeroundtable" TargetMode="External"/><Relationship Id="rId3" Type="http://schemas.openxmlformats.org/officeDocument/2006/relationships/styles" Target="styles.xml"/><Relationship Id="rId12" Type="http://schemas.openxmlformats.org/officeDocument/2006/relationships/hyperlink" Target="http://leginfo.legislature.ca.gov/faces/billNavClient.xhtml?bill_id=201320140SB1319" TargetMode="External"/><Relationship Id="rId17" Type="http://schemas.openxmlformats.org/officeDocument/2006/relationships/hyperlink" Target="http://leginfo.legislature.ca.gov/faces/billNavClient.xhtml?bill_id=201320140SB1168" TargetMode="External"/><Relationship Id="rId25" Type="http://schemas.openxmlformats.org/officeDocument/2006/relationships/image" Target="media/image1.jpg"/><Relationship Id="rId33" Type="http://schemas.openxmlformats.org/officeDocument/2006/relationships/hyperlink" Target="https://www.ppic.org/publication/water-and-the-future-of-the-san-joaquin-valley/" TargetMode="External"/><Relationship Id="rId38" Type="http://schemas.openxmlformats.org/officeDocument/2006/relationships/hyperlink" Target="https://www.ppic.org/publication/replenishing-groundwater-in-the-san-joaquin-valley/" TargetMode="External"/><Relationship Id="rId46" Type="http://schemas.openxmlformats.org/officeDocument/2006/relationships/hyperlink" Target="https://www.waterboards.ca.gov/publications_forms/publications/factsheets/docs/flood_control_factsheet.pdf" TargetMode="External"/><Relationship Id="rId59" Type="http://schemas.openxmlformats.org/officeDocument/2006/relationships/hyperlink" Target="https://groundwaterresourcehub.org/public/uploads/pdfs/OnFarmRecharge_AnnualCrops_MBCP2019.pdf" TargetMode="External"/><Relationship Id="rId67" Type="http://schemas.openxmlformats.org/officeDocument/2006/relationships/hyperlink" Target="https://www.grac.org/" TargetMode="External"/><Relationship Id="rId20" Type="http://schemas.openxmlformats.org/officeDocument/2006/relationships/hyperlink" Target="https://water.ca.gov/Programs/Groundwater-Management/SGMA-Groundwater-Management/Groundwater-Sustainable-Agencies" TargetMode="External"/><Relationship Id="rId41" Type="http://schemas.openxmlformats.org/officeDocument/2006/relationships/hyperlink" Target="https://www.ca.gov/archive/gov39/wp-content/uploads/2017/09/4.6.17_Attested_Oroville_Repair_Exec_Order.pdf" TargetMode="External"/><Relationship Id="rId54" Type="http://schemas.openxmlformats.org/officeDocument/2006/relationships/image" Target="media/image5.jpeg"/><Relationship Id="rId62" Type="http://schemas.openxmlformats.org/officeDocument/2006/relationships/hyperlink" Target="https://groundwaterresourcehub.org/public/uploads/pdfs/TNC_FoxCanyon_GroundwaterMarketCaseStudy.pdf" TargetMode="External"/><Relationship Id="rId70" Type="http://schemas.openxmlformats.org/officeDocument/2006/relationships/hyperlink" Target="https://www.grac.org/" TargetMode="External"/><Relationship Id="rId75" Type="http://schemas.openxmlformats.org/officeDocument/2006/relationships/image" Target="cid:89999A75C3DB734BA542C9C61AADAEA6@mid.loc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ater.ca.gov/Programs/Groundwater-Management/SGMA-Groundwater-Management/Groundwater-Sustainability-Plans" TargetMode="External"/><Relationship Id="rId23" Type="http://schemas.openxmlformats.org/officeDocument/2006/relationships/hyperlink" Target="https://www.acwa.com/wp-content/uploads/2017/03/sustainability-from-the-ground-up-2011.pdf" TargetMode="External"/><Relationship Id="rId28" Type="http://schemas.openxmlformats.org/officeDocument/2006/relationships/hyperlink" Target="https://leginfo.legislature.ca.gov/faces/codes_displaySection.xhtml?sectionNum=10933.&amp;lawCode=WAT" TargetMode="External"/><Relationship Id="rId36" Type="http://schemas.openxmlformats.org/officeDocument/2006/relationships/hyperlink" Target="https://www.ppic.org/publication/water-and-the-future-of-the-san-joaquin-valley/" TargetMode="External"/><Relationship Id="rId49" Type="http://schemas.openxmlformats.org/officeDocument/2006/relationships/hyperlink" Target="https://www.law.berkeley.edu/wp-content/uploads/2018/08/CLEE_RechargingGroundwater_BeneficialUse-2.pdf" TargetMode="External"/><Relationship Id="rId57" Type="http://schemas.openxmlformats.org/officeDocument/2006/relationships/hyperlink" Target="https://groundwaterresourcehub.org/public/uploads/pdfs/OnFarmRecharge_AnnualCrops_MBCP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4845B-2C52-4D3A-BE59-CA55072B2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F99F05C.dotm</Template>
  <TotalTime>1</TotalTime>
  <Pages>20</Pages>
  <Words>5215</Words>
  <Characters>29730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34876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Sparks-Kranz</dc:creator>
  <cp:lastModifiedBy>Melissa Sparks-Kranz</cp:lastModifiedBy>
  <cp:revision>3</cp:revision>
  <cp:lastPrinted>2019-06-21T22:18:00Z</cp:lastPrinted>
  <dcterms:created xsi:type="dcterms:W3CDTF">2019-07-24T06:17:00Z</dcterms:created>
  <dcterms:modified xsi:type="dcterms:W3CDTF">2019-08-05T20:38:00Z</dcterms:modified>
</cp:coreProperties>
</file>